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90686" w14:textId="576A208B" w:rsidR="00E05648" w:rsidRPr="007F5499" w:rsidRDefault="00066F6D" w:rsidP="00050F74">
      <w:pPr>
        <w:spacing w:line="240" w:lineRule="auto"/>
        <w:jc w:val="center"/>
        <w:rPr>
          <w:rFonts w:ascii="Times New Roman" w:hAnsi="Times New Roman" w:cs="Times New Roman"/>
          <w:b/>
          <w:sz w:val="28"/>
          <w:szCs w:val="24"/>
        </w:rPr>
      </w:pPr>
      <w:r w:rsidRPr="007F5499">
        <w:rPr>
          <w:rFonts w:ascii="Times New Roman" w:hAnsi="Times New Roman" w:cs="Times New Roman"/>
          <w:b/>
          <w:sz w:val="28"/>
          <w:szCs w:val="24"/>
        </w:rPr>
        <w:t xml:space="preserve">The Impact of Digitalized Communication on the Effectiveness of Local Administrative Authorities – Findings from Central European Countries in the </w:t>
      </w:r>
      <w:r w:rsidRPr="007F5499">
        <w:rPr>
          <w:rFonts w:ascii="Times New Roman" w:eastAsia="Calibri" w:hAnsi="Times New Roman" w:cs="Times New Roman"/>
          <w:b/>
          <w:sz w:val="28"/>
          <w:szCs w:val="24"/>
        </w:rPr>
        <w:t>COVID</w:t>
      </w:r>
      <w:r w:rsidRPr="007F5499">
        <w:rPr>
          <w:rFonts w:ascii="Times New Roman" w:hAnsi="Times New Roman" w:cs="Times New Roman"/>
          <w:b/>
          <w:sz w:val="28"/>
          <w:szCs w:val="24"/>
        </w:rPr>
        <w:t>-19 Crisis</w:t>
      </w:r>
    </w:p>
    <w:p w14:paraId="155C43B6" w14:textId="77777777" w:rsidR="00A05A97" w:rsidRPr="007F5499" w:rsidRDefault="00A05A97" w:rsidP="00050F74">
      <w:pPr>
        <w:pStyle w:val="berschrift1"/>
        <w:spacing w:line="240" w:lineRule="auto"/>
        <w:jc w:val="both"/>
        <w:rPr>
          <w:rFonts w:ascii="Times New Roman" w:hAnsi="Times New Roman" w:cs="Times New Roman"/>
          <w:b/>
          <w:color w:val="auto"/>
          <w:sz w:val="24"/>
          <w:szCs w:val="24"/>
        </w:rPr>
      </w:pPr>
    </w:p>
    <w:p w14:paraId="0F9E4881" w14:textId="77777777" w:rsidR="00C602F9" w:rsidRPr="007F5499" w:rsidRDefault="00066F6D" w:rsidP="00050F74">
      <w:pPr>
        <w:pStyle w:val="berschrift1"/>
        <w:spacing w:line="240" w:lineRule="auto"/>
        <w:jc w:val="both"/>
        <w:rPr>
          <w:rFonts w:ascii="Times New Roman" w:hAnsi="Times New Roman" w:cs="Times New Roman"/>
          <w:b/>
          <w:sz w:val="24"/>
          <w:szCs w:val="24"/>
        </w:rPr>
      </w:pPr>
      <w:r w:rsidRPr="007F5499">
        <w:rPr>
          <w:rFonts w:ascii="Times New Roman" w:hAnsi="Times New Roman" w:cs="Times New Roman"/>
          <w:b/>
          <w:color w:val="auto"/>
          <w:sz w:val="24"/>
          <w:szCs w:val="24"/>
        </w:rPr>
        <w:t>Abstract</w:t>
      </w:r>
    </w:p>
    <w:p w14:paraId="465036DC" w14:textId="264FE872" w:rsidR="004E403D" w:rsidRPr="007F5499" w:rsidRDefault="00066F6D" w:rsidP="00050F74">
      <w:pPr>
        <w:spacing w:line="240" w:lineRule="auto"/>
        <w:jc w:val="both"/>
        <w:rPr>
          <w:rFonts w:ascii="Times New Roman" w:hAnsi="Times New Roman" w:cs="Times New Roman"/>
          <w:sz w:val="24"/>
          <w:szCs w:val="24"/>
        </w:rPr>
      </w:pPr>
      <w:r w:rsidRPr="007F5499">
        <w:rPr>
          <w:rFonts w:ascii="Times New Roman" w:hAnsi="Times New Roman" w:cs="Times New Roman"/>
          <w:sz w:val="24"/>
          <w:szCs w:val="24"/>
        </w:rPr>
        <w:t>This paper analyses the impact of</w:t>
      </w:r>
      <w:r w:rsidR="00F316C7" w:rsidRPr="007F5499">
        <w:rPr>
          <w:rFonts w:ascii="Times New Roman" w:hAnsi="Times New Roman" w:cs="Times New Roman"/>
          <w:color w:val="000000"/>
          <w:sz w:val="24"/>
          <w:szCs w:val="24"/>
        </w:rPr>
        <w:t xml:space="preserve"> the use of digital communication tools in administrative procedures </w:t>
      </w:r>
      <w:r w:rsidR="007E40DE" w:rsidRPr="007F5499">
        <w:rPr>
          <w:rFonts w:ascii="Times New Roman" w:hAnsi="Times New Roman" w:cs="Times New Roman"/>
          <w:sz w:val="24"/>
          <w:szCs w:val="24"/>
        </w:rPr>
        <w:t xml:space="preserve">on the effectiveness of local administrative authorities during the </w:t>
      </w:r>
      <w:r w:rsidRPr="007F5499">
        <w:rPr>
          <w:rFonts w:ascii="Times New Roman" w:eastAsia="Calibri" w:hAnsi="Times New Roman" w:cs="Times New Roman"/>
          <w:sz w:val="24"/>
          <w:szCs w:val="24"/>
        </w:rPr>
        <w:t>COVID</w:t>
      </w:r>
      <w:r w:rsidR="007E40DE" w:rsidRPr="007F5499">
        <w:rPr>
          <w:rFonts w:ascii="Times New Roman" w:hAnsi="Times New Roman" w:cs="Times New Roman"/>
          <w:sz w:val="24"/>
          <w:szCs w:val="24"/>
        </w:rPr>
        <w:t xml:space="preserve">-19 pandemic. It considers </w:t>
      </w:r>
      <w:r w:rsidRPr="007F5499">
        <w:rPr>
          <w:rFonts w:ascii="Times New Roman" w:eastAsia="Calibri" w:hAnsi="Times New Roman" w:cs="Times New Roman"/>
          <w:sz w:val="24"/>
          <w:szCs w:val="24"/>
        </w:rPr>
        <w:t>COVID</w:t>
      </w:r>
      <w:r w:rsidR="007E40DE" w:rsidRPr="007F5499">
        <w:rPr>
          <w:rFonts w:ascii="Times New Roman" w:hAnsi="Times New Roman" w:cs="Times New Roman"/>
          <w:sz w:val="24"/>
          <w:szCs w:val="24"/>
        </w:rPr>
        <w:t>-19</w:t>
      </w:r>
      <w:r w:rsidRPr="007F5499">
        <w:rPr>
          <w:rFonts w:ascii="Times New Roman" w:eastAsia="Calibri" w:hAnsi="Times New Roman" w:cs="Times New Roman"/>
          <w:sz w:val="24"/>
          <w:szCs w:val="24"/>
        </w:rPr>
        <w:t>-</w:t>
      </w:r>
      <w:r w:rsidR="007E40DE" w:rsidRPr="007F5499">
        <w:rPr>
          <w:rFonts w:ascii="Times New Roman" w:hAnsi="Times New Roman" w:cs="Times New Roman"/>
          <w:sz w:val="24"/>
          <w:szCs w:val="24"/>
        </w:rPr>
        <w:t xml:space="preserve">driven changes </w:t>
      </w:r>
      <w:r w:rsidRPr="007F5499">
        <w:rPr>
          <w:rFonts w:ascii="Times New Roman" w:eastAsia="Calibri" w:hAnsi="Times New Roman" w:cs="Times New Roman"/>
          <w:sz w:val="24"/>
          <w:szCs w:val="24"/>
        </w:rPr>
        <w:t>in</w:t>
      </w:r>
      <w:r w:rsidR="007E40DE" w:rsidRPr="007F5499">
        <w:rPr>
          <w:rFonts w:ascii="Times New Roman" w:hAnsi="Times New Roman" w:cs="Times New Roman"/>
          <w:sz w:val="24"/>
          <w:szCs w:val="24"/>
        </w:rPr>
        <w:t xml:space="preserve"> the legal competence of the institutional unit and administrative authorit</w:t>
      </w:r>
      <w:r w:rsidR="00F90982">
        <w:rPr>
          <w:rFonts w:ascii="Times New Roman" w:hAnsi="Times New Roman" w:cs="Times New Roman"/>
          <w:sz w:val="24"/>
          <w:szCs w:val="24"/>
        </w:rPr>
        <w:t>ies</w:t>
      </w:r>
      <w:r w:rsidR="007E40DE" w:rsidRPr="007F5499">
        <w:rPr>
          <w:rFonts w:ascii="Times New Roman" w:hAnsi="Times New Roman" w:cs="Times New Roman"/>
          <w:sz w:val="24"/>
          <w:szCs w:val="24"/>
        </w:rPr>
        <w:t xml:space="preserve">’ orientation to good governance as mediators of this relationship. By applying partial least squares structural equation </w:t>
      </w:r>
      <w:r w:rsidR="00244A30" w:rsidRPr="007F5499">
        <w:rPr>
          <w:rFonts w:ascii="Times New Roman" w:eastAsia="Calibri" w:hAnsi="Times New Roman" w:cs="Times New Roman"/>
          <w:sz w:val="24"/>
          <w:szCs w:val="24"/>
        </w:rPr>
        <w:t>modelling</w:t>
      </w:r>
      <w:r w:rsidR="007E40DE" w:rsidRPr="007F5499">
        <w:rPr>
          <w:rFonts w:ascii="Times New Roman" w:hAnsi="Times New Roman" w:cs="Times New Roman"/>
          <w:sz w:val="24"/>
          <w:szCs w:val="24"/>
        </w:rPr>
        <w:t xml:space="preserve"> (PLS-SEM) </w:t>
      </w:r>
      <w:r w:rsidRPr="007F5499">
        <w:rPr>
          <w:rFonts w:ascii="Times New Roman" w:eastAsia="Calibri" w:hAnsi="Times New Roman" w:cs="Times New Roman"/>
          <w:sz w:val="24"/>
          <w:szCs w:val="24"/>
        </w:rPr>
        <w:t>to</w:t>
      </w:r>
      <w:r w:rsidR="007E40DE" w:rsidRPr="007F5499">
        <w:rPr>
          <w:rFonts w:ascii="Times New Roman" w:hAnsi="Times New Roman" w:cs="Times New Roman"/>
          <w:sz w:val="24"/>
          <w:szCs w:val="24"/>
        </w:rPr>
        <w:t xml:space="preserve"> survey data (N=610) from five central European countries, we show that </w:t>
      </w:r>
      <w:r w:rsidRPr="007F5499">
        <w:rPr>
          <w:rFonts w:ascii="Times New Roman" w:eastAsia="Calibri" w:hAnsi="Times New Roman" w:cs="Times New Roman"/>
          <w:sz w:val="24"/>
          <w:szCs w:val="24"/>
        </w:rPr>
        <w:t xml:space="preserve">the </w:t>
      </w:r>
      <w:r w:rsidR="00AA1CE1">
        <w:rPr>
          <w:rFonts w:ascii="Times New Roman" w:hAnsi="Times New Roman" w:cs="Times New Roman"/>
          <w:sz w:val="24"/>
          <w:szCs w:val="24"/>
        </w:rPr>
        <w:t xml:space="preserve">accelerated use of digitalized communication tools driven by the </w:t>
      </w:r>
      <w:r w:rsidR="00AA1CE1">
        <w:rPr>
          <w:rFonts w:ascii="Times New Roman" w:eastAsia="Calibri" w:hAnsi="Times New Roman" w:cs="Times New Roman"/>
          <w:sz w:val="24"/>
          <w:szCs w:val="24"/>
        </w:rPr>
        <w:t xml:space="preserve">COVID-19 situation </w:t>
      </w:r>
      <w:r w:rsidR="0072670E" w:rsidRPr="007F5499">
        <w:rPr>
          <w:rFonts w:ascii="Times New Roman" w:hAnsi="Times New Roman" w:cs="Times New Roman"/>
          <w:sz w:val="24"/>
          <w:szCs w:val="24"/>
        </w:rPr>
        <w:t xml:space="preserve">has a positive effect on the effectiveness of local administrative authorities. Our data also indicate that the new laws, instructions and good governance driven by the COVID-19 situation </w:t>
      </w:r>
      <w:r w:rsidRPr="007F5499">
        <w:rPr>
          <w:rFonts w:ascii="Times New Roman" w:eastAsia="Calibri" w:hAnsi="Times New Roman" w:cs="Times New Roman"/>
          <w:sz w:val="24"/>
          <w:szCs w:val="24"/>
        </w:rPr>
        <w:t>–</w:t>
      </w:r>
      <w:r w:rsidR="007E40DE" w:rsidRPr="007F5499">
        <w:rPr>
          <w:rFonts w:ascii="Times New Roman" w:hAnsi="Times New Roman" w:cs="Times New Roman"/>
          <w:sz w:val="24"/>
          <w:szCs w:val="24"/>
        </w:rPr>
        <w:t xml:space="preserve"> based on mostly convergent administrative traditions and European trends – partially mediate the relationship </w:t>
      </w:r>
      <w:r w:rsidRPr="007F5499">
        <w:rPr>
          <w:rFonts w:ascii="Times New Roman" w:eastAsia="Calibri" w:hAnsi="Times New Roman" w:cs="Times New Roman"/>
          <w:sz w:val="24"/>
          <w:szCs w:val="24"/>
        </w:rPr>
        <w:t>between</w:t>
      </w:r>
      <w:r w:rsidR="007E40DE" w:rsidRPr="007F5499">
        <w:rPr>
          <w:rFonts w:ascii="Times New Roman" w:hAnsi="Times New Roman" w:cs="Times New Roman"/>
          <w:sz w:val="24"/>
          <w:szCs w:val="24"/>
        </w:rPr>
        <w:t xml:space="preserve"> the use of digital communication tools and administrative effectiveness. These findings do not significantly differ between participating countries and bureaucratic traditions. Consequently, the </w:t>
      </w:r>
      <w:r w:rsidRPr="007F5499">
        <w:rPr>
          <w:rFonts w:ascii="Times New Roman" w:eastAsia="Calibri" w:hAnsi="Times New Roman" w:cs="Times New Roman"/>
          <w:sz w:val="24"/>
          <w:szCs w:val="24"/>
        </w:rPr>
        <w:t>COVID</w:t>
      </w:r>
      <w:r w:rsidR="007E40DE" w:rsidRPr="007F5499">
        <w:rPr>
          <w:rFonts w:ascii="Times New Roman" w:hAnsi="Times New Roman" w:cs="Times New Roman"/>
          <w:sz w:val="24"/>
          <w:szCs w:val="24"/>
        </w:rPr>
        <w:t>-19 crisis proved to be a joint facilitator of responsive public governance that remained compliant with the rule of law, regardless of whether the national administrative systems were traditionally more legalistically or managerially oriented.</w:t>
      </w:r>
    </w:p>
    <w:p w14:paraId="0E556008" w14:textId="77777777" w:rsidR="004E403D" w:rsidRPr="007F5499" w:rsidRDefault="004E403D" w:rsidP="00050F74">
      <w:pPr>
        <w:autoSpaceDE w:val="0"/>
        <w:autoSpaceDN w:val="0"/>
        <w:adjustRightInd w:val="0"/>
        <w:spacing w:after="0" w:line="240" w:lineRule="auto"/>
        <w:jc w:val="both"/>
        <w:rPr>
          <w:rFonts w:ascii="Times New Roman" w:hAnsi="Times New Roman" w:cs="Times New Roman"/>
          <w:sz w:val="24"/>
          <w:szCs w:val="24"/>
        </w:rPr>
      </w:pPr>
    </w:p>
    <w:p w14:paraId="7C51B8AB" w14:textId="0796FBDA" w:rsidR="00F857E5" w:rsidRPr="007F5499" w:rsidRDefault="00066F6D" w:rsidP="00050F74">
      <w:pPr>
        <w:spacing w:line="240" w:lineRule="auto"/>
        <w:jc w:val="both"/>
        <w:rPr>
          <w:rFonts w:ascii="Times New Roman" w:hAnsi="Times New Roman" w:cs="Times New Roman"/>
          <w:sz w:val="24"/>
          <w:szCs w:val="24"/>
        </w:rPr>
      </w:pPr>
      <w:r w:rsidRPr="007F5499">
        <w:rPr>
          <w:rFonts w:ascii="Times New Roman" w:hAnsi="Times New Roman" w:cs="Times New Roman"/>
          <w:b/>
          <w:sz w:val="24"/>
          <w:szCs w:val="24"/>
        </w:rPr>
        <w:t>Keywords</w:t>
      </w:r>
      <w:r w:rsidRPr="007F5499">
        <w:rPr>
          <w:rFonts w:ascii="Times New Roman" w:hAnsi="Times New Roman" w:cs="Times New Roman"/>
          <w:sz w:val="24"/>
          <w:szCs w:val="24"/>
        </w:rPr>
        <w:t xml:space="preserve">: local administrative authorities, </w:t>
      </w:r>
      <w:r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 digitalization, good governance, comparative analysis, central European countries.</w:t>
      </w:r>
    </w:p>
    <w:p w14:paraId="662666F0" w14:textId="77777777" w:rsidR="00116DE6" w:rsidRPr="007F5499" w:rsidRDefault="00116DE6" w:rsidP="00050F74">
      <w:pPr>
        <w:spacing w:line="240" w:lineRule="auto"/>
        <w:rPr>
          <w:rFonts w:ascii="Times New Roman" w:hAnsi="Times New Roman" w:cs="Times New Roman"/>
          <w:sz w:val="24"/>
          <w:szCs w:val="24"/>
        </w:rPr>
      </w:pPr>
    </w:p>
    <w:p w14:paraId="6A47F7E7" w14:textId="388114FE" w:rsidR="001A5F74" w:rsidRDefault="00066F6D" w:rsidP="00050F74">
      <w:pPr>
        <w:spacing w:line="240" w:lineRule="auto"/>
        <w:rPr>
          <w:rFonts w:ascii="Times New Roman" w:hAnsi="Times New Roman" w:cs="Times New Roman"/>
          <w:sz w:val="24"/>
          <w:szCs w:val="24"/>
        </w:rPr>
      </w:pPr>
      <w:r w:rsidRPr="007F5499">
        <w:rPr>
          <w:rFonts w:ascii="Times New Roman" w:hAnsi="Times New Roman" w:cs="Times New Roman"/>
          <w:sz w:val="24"/>
          <w:szCs w:val="24"/>
        </w:rPr>
        <w:t>JEL classification: H12, K10</w:t>
      </w:r>
    </w:p>
    <w:p w14:paraId="4B0F366E" w14:textId="6C6B28E2" w:rsidR="00EE2225" w:rsidRDefault="00EE2225" w:rsidP="00050F74">
      <w:pPr>
        <w:spacing w:line="240" w:lineRule="auto"/>
        <w:rPr>
          <w:rFonts w:ascii="Times New Roman" w:hAnsi="Times New Roman" w:cs="Times New Roman"/>
          <w:sz w:val="24"/>
          <w:szCs w:val="24"/>
        </w:rPr>
      </w:pPr>
    </w:p>
    <w:p w14:paraId="660C4FF9" w14:textId="0164F6A0" w:rsidR="00EE2225" w:rsidRDefault="00EE2225" w:rsidP="00050F74">
      <w:pPr>
        <w:spacing w:line="240" w:lineRule="auto"/>
        <w:rPr>
          <w:rFonts w:ascii="Times New Roman" w:hAnsi="Times New Roman" w:cs="Times New Roman"/>
          <w:sz w:val="24"/>
          <w:szCs w:val="24"/>
        </w:rPr>
      </w:pPr>
    </w:p>
    <w:p w14:paraId="65FE3647" w14:textId="77777777" w:rsidR="001A5F74" w:rsidRPr="007F5499" w:rsidRDefault="001A5F74" w:rsidP="00050F74">
      <w:pPr>
        <w:spacing w:line="240" w:lineRule="auto"/>
        <w:rPr>
          <w:rFonts w:ascii="Times New Roman" w:hAnsi="Times New Roman" w:cs="Times New Roman"/>
          <w:sz w:val="24"/>
          <w:szCs w:val="24"/>
        </w:rPr>
      </w:pPr>
    </w:p>
    <w:p w14:paraId="64752811" w14:textId="77777777" w:rsidR="004E403D" w:rsidRPr="007F5499" w:rsidRDefault="00066F6D" w:rsidP="00A475A2">
      <w:pPr>
        <w:spacing w:line="240" w:lineRule="auto"/>
        <w:rPr>
          <w:rFonts w:ascii="Times New Roman" w:hAnsi="Times New Roman" w:cs="Times New Roman"/>
          <w:sz w:val="24"/>
          <w:szCs w:val="24"/>
        </w:rPr>
      </w:pPr>
      <w:r w:rsidRPr="007F5499">
        <w:rPr>
          <w:rFonts w:ascii="Times New Roman" w:hAnsi="Times New Roman" w:cs="Times New Roman"/>
          <w:sz w:val="24"/>
          <w:szCs w:val="24"/>
        </w:rPr>
        <w:br w:type="page"/>
      </w:r>
    </w:p>
    <w:p w14:paraId="7D8F120D" w14:textId="77777777" w:rsidR="00F857E5" w:rsidRPr="007F5499" w:rsidRDefault="00066F6D" w:rsidP="006656B2">
      <w:pPr>
        <w:pStyle w:val="berschrift1"/>
        <w:spacing w:line="240" w:lineRule="auto"/>
        <w:jc w:val="both"/>
        <w:rPr>
          <w:rFonts w:ascii="Times New Roman" w:hAnsi="Times New Roman" w:cs="Times New Roman"/>
          <w:b/>
          <w:color w:val="auto"/>
          <w:sz w:val="24"/>
          <w:szCs w:val="24"/>
        </w:rPr>
      </w:pPr>
      <w:r w:rsidRPr="007F5499">
        <w:rPr>
          <w:rFonts w:ascii="Times New Roman" w:hAnsi="Times New Roman" w:cs="Times New Roman"/>
          <w:b/>
          <w:color w:val="auto"/>
          <w:sz w:val="24"/>
          <w:szCs w:val="24"/>
        </w:rPr>
        <w:lastRenderedPageBreak/>
        <w:t>1 Introduction</w:t>
      </w:r>
    </w:p>
    <w:p w14:paraId="74B482EB" w14:textId="77777777" w:rsidR="00A05A97" w:rsidRPr="007F5499" w:rsidRDefault="00A05A97" w:rsidP="006656B2">
      <w:pPr>
        <w:spacing w:line="240" w:lineRule="auto"/>
        <w:jc w:val="both"/>
        <w:rPr>
          <w:rFonts w:ascii="Times New Roman" w:hAnsi="Times New Roman" w:cs="Times New Roman"/>
          <w:sz w:val="24"/>
          <w:szCs w:val="24"/>
        </w:rPr>
      </w:pPr>
    </w:p>
    <w:p w14:paraId="572C86C9" w14:textId="10A0D3DC" w:rsidR="00E1500B" w:rsidRDefault="00066F6D" w:rsidP="00E1500B">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w:t>
      </w:r>
      <w:r w:rsidR="00B8584D" w:rsidRPr="007F5499">
        <w:rPr>
          <w:rFonts w:ascii="Times New Roman" w:eastAsia="Calibri" w:hAnsi="Times New Roman" w:cs="Times New Roman"/>
          <w:sz w:val="24"/>
          <w:szCs w:val="24"/>
        </w:rPr>
        <w:t>COVID</w:t>
      </w:r>
      <w:r w:rsidR="00505609">
        <w:rPr>
          <w:rFonts w:ascii="Times New Roman" w:hAnsi="Times New Roman" w:cs="Times New Roman"/>
          <w:sz w:val="24"/>
          <w:szCs w:val="24"/>
        </w:rPr>
        <w:t xml:space="preserve">-19 pandemic </w:t>
      </w:r>
      <w:r w:rsidR="00F90982">
        <w:rPr>
          <w:rFonts w:ascii="Times New Roman" w:hAnsi="Times New Roman" w:cs="Times New Roman"/>
          <w:sz w:val="24"/>
          <w:szCs w:val="24"/>
        </w:rPr>
        <w:t xml:space="preserve">has </w:t>
      </w:r>
      <w:r w:rsidR="00505609">
        <w:rPr>
          <w:rFonts w:ascii="Times New Roman" w:hAnsi="Times New Roman" w:cs="Times New Roman"/>
          <w:sz w:val="24"/>
          <w:szCs w:val="24"/>
        </w:rPr>
        <w:t xml:space="preserve">brought great and unforeseen challenges not only to societies at large but also to public administrations (Ansell et al. 2021, Schuster et al. 2020; Schomaker and Bauer 2020). During the pandemic, public administrations have been forced to provide public services differently, </w:t>
      </w:r>
      <w:r w:rsidR="00F90982">
        <w:rPr>
          <w:rFonts w:ascii="Times New Roman" w:hAnsi="Times New Roman" w:cs="Times New Roman"/>
          <w:sz w:val="24"/>
          <w:szCs w:val="24"/>
        </w:rPr>
        <w:t>that is,</w:t>
      </w:r>
      <w:r w:rsidR="00505609">
        <w:rPr>
          <w:rFonts w:ascii="Times New Roman" w:hAnsi="Times New Roman" w:cs="Times New Roman"/>
          <w:sz w:val="24"/>
          <w:szCs w:val="24"/>
        </w:rPr>
        <w:t xml:space="preserve"> “to alter the way they work and make decisions” (Phillips et al. 2021, p. 1).  Consequently, the </w:t>
      </w:r>
      <w:r w:rsidR="00B8584D" w:rsidRPr="007F5499">
        <w:rPr>
          <w:rFonts w:ascii="Times New Roman" w:eastAsia="Calibri" w:hAnsi="Times New Roman" w:cs="Times New Roman"/>
          <w:sz w:val="24"/>
          <w:szCs w:val="24"/>
        </w:rPr>
        <w:t>COVID</w:t>
      </w:r>
      <w:r w:rsidR="002E5C66">
        <w:rPr>
          <w:rFonts w:ascii="Times New Roman" w:hAnsi="Times New Roman" w:cs="Times New Roman"/>
          <w:sz w:val="24"/>
          <w:szCs w:val="24"/>
        </w:rPr>
        <w:t>-19 pandemic has challenged not only public leadership styles (Ansell et al. 2021, Dirani et al. 2020), but also public servants’ working routines and administrative cultures (Parker et al. 2020; Gabryelczyk 2020).</w:t>
      </w:r>
    </w:p>
    <w:p w14:paraId="740928AA" w14:textId="57B2812D" w:rsidR="0008222B" w:rsidRDefault="00066F6D" w:rsidP="0008222B">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More </w:t>
      </w:r>
      <w:r w:rsidR="00B8584D" w:rsidRPr="007F5499">
        <w:rPr>
          <w:rFonts w:ascii="Times New Roman" w:eastAsia="Calibri" w:hAnsi="Times New Roman" w:cs="Times New Roman"/>
          <w:sz w:val="24"/>
          <w:szCs w:val="24"/>
        </w:rPr>
        <w:t>concretely</w:t>
      </w:r>
      <w:r w:rsidRPr="007F5499">
        <w:rPr>
          <w:rFonts w:ascii="Times New Roman" w:hAnsi="Times New Roman" w:cs="Times New Roman"/>
          <w:sz w:val="24"/>
          <w:szCs w:val="24"/>
        </w:rPr>
        <w:t xml:space="preserve">, the pandemic has forced many public servants to work remotely (Gabryelczyk 2020, Kylili et al. 2020) or at least “to move their operations online, wholly or in </w:t>
      </w:r>
      <w:r w:rsidR="00B8584D" w:rsidRPr="007F5499">
        <w:rPr>
          <w:rFonts w:ascii="Times New Roman" w:eastAsia="Calibri" w:hAnsi="Times New Roman" w:cs="Times New Roman"/>
          <w:sz w:val="24"/>
          <w:szCs w:val="24"/>
        </w:rPr>
        <w:t xml:space="preserve">part” </w:t>
      </w:r>
      <w:r w:rsidR="00F9079B">
        <w:rPr>
          <w:rFonts w:ascii="Times New Roman" w:hAnsi="Times New Roman" w:cs="Times New Roman"/>
          <w:sz w:val="24"/>
          <w:szCs w:val="24"/>
        </w:rPr>
        <w:t>(Agostino et al. 2021, p. 69). This has induced the establishment of new procedures for providing services to external parties</w:t>
      </w:r>
      <w:r w:rsidR="00F90982">
        <w:rPr>
          <w:rFonts w:ascii="Times New Roman" w:hAnsi="Times New Roman" w:cs="Times New Roman"/>
          <w:sz w:val="24"/>
          <w:szCs w:val="24"/>
        </w:rPr>
        <w:t xml:space="preserve"> as well as</w:t>
      </w:r>
      <w:r w:rsidR="00F9079B">
        <w:rPr>
          <w:rFonts w:ascii="Times New Roman" w:hAnsi="Times New Roman" w:cs="Times New Roman"/>
          <w:sz w:val="24"/>
          <w:szCs w:val="24"/>
        </w:rPr>
        <w:t xml:space="preserve"> different coordinating tasks inside administration</w:t>
      </w:r>
      <w:r w:rsidR="00F90982">
        <w:rPr>
          <w:rFonts w:ascii="Times New Roman" w:hAnsi="Times New Roman" w:cs="Times New Roman"/>
          <w:sz w:val="24"/>
          <w:szCs w:val="24"/>
        </w:rPr>
        <w:t>s</w:t>
      </w:r>
      <w:r w:rsidR="00F9079B">
        <w:rPr>
          <w:rFonts w:ascii="Times New Roman" w:hAnsi="Times New Roman" w:cs="Times New Roman"/>
          <w:sz w:val="24"/>
          <w:szCs w:val="24"/>
        </w:rPr>
        <w:t>. In this context, the challenge</w:t>
      </w:r>
      <w:r w:rsidR="00F90982">
        <w:rPr>
          <w:rFonts w:ascii="Times New Roman" w:hAnsi="Times New Roman" w:cs="Times New Roman"/>
          <w:sz w:val="24"/>
          <w:szCs w:val="24"/>
        </w:rPr>
        <w:t>s</w:t>
      </w:r>
      <w:r w:rsidR="00F9079B">
        <w:rPr>
          <w:rFonts w:ascii="Times New Roman" w:hAnsi="Times New Roman" w:cs="Times New Roman"/>
          <w:sz w:val="24"/>
          <w:szCs w:val="24"/>
        </w:rPr>
        <w:t xml:space="preserve"> </w:t>
      </w:r>
      <w:r w:rsidR="00F90982">
        <w:rPr>
          <w:rFonts w:ascii="Times New Roman" w:hAnsi="Times New Roman" w:cs="Times New Roman"/>
          <w:sz w:val="24"/>
          <w:szCs w:val="24"/>
        </w:rPr>
        <w:t xml:space="preserve">of knowing </w:t>
      </w:r>
      <w:r w:rsidR="00F9079B">
        <w:rPr>
          <w:rFonts w:ascii="Times New Roman" w:hAnsi="Times New Roman" w:cs="Times New Roman"/>
          <w:sz w:val="24"/>
          <w:szCs w:val="24"/>
        </w:rPr>
        <w:t>how to handle and to distribute relevant information between public administrations and their ‘customers’</w:t>
      </w:r>
      <w:r w:rsidR="00F90982">
        <w:rPr>
          <w:rFonts w:ascii="Times New Roman" w:hAnsi="Times New Roman" w:cs="Times New Roman"/>
          <w:sz w:val="24"/>
          <w:szCs w:val="24"/>
        </w:rPr>
        <w:t>, including</w:t>
      </w:r>
      <w:r w:rsidR="00F9079B">
        <w:rPr>
          <w:rFonts w:ascii="Times New Roman" w:hAnsi="Times New Roman" w:cs="Times New Roman"/>
          <w:sz w:val="24"/>
          <w:szCs w:val="24"/>
        </w:rPr>
        <w:t xml:space="preserve"> citizens, firms and other parties</w:t>
      </w:r>
      <w:r w:rsidR="00F90982">
        <w:rPr>
          <w:rFonts w:ascii="Times New Roman" w:hAnsi="Times New Roman" w:cs="Times New Roman"/>
          <w:sz w:val="24"/>
          <w:szCs w:val="24"/>
        </w:rPr>
        <w:t>, have</w:t>
      </w:r>
      <w:r w:rsidR="00F9079B">
        <w:rPr>
          <w:rFonts w:ascii="Times New Roman" w:hAnsi="Times New Roman" w:cs="Times New Roman"/>
          <w:sz w:val="24"/>
          <w:szCs w:val="24"/>
        </w:rPr>
        <w:t xml:space="preserve"> become highly relevant (Phillips et al. 2021).</w:t>
      </w:r>
    </w:p>
    <w:p w14:paraId="1EF9B04D" w14:textId="76129208" w:rsidR="00287128" w:rsidRDefault="00066F6D" w:rsidP="0008222B">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Already before the </w:t>
      </w:r>
      <w:r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 xml:space="preserve">-19 pandemic, the digitalization of public services was on the agenda of public administrations. Nevertheless, researchers have observed that </w:t>
      </w:r>
      <w:r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 has sped up the process of digitalization in public administrations</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as many services for citizens, forms and other stakeholders had to be made available online during the lockdown (Hodžić et al. 2021; Gabryelczyk 2020). As a result, Agostino et al. (2021) speak about a “COVID-19-induced digital acceleration” (p. 69</w:t>
      </w:r>
      <w:r w:rsidR="00637166">
        <w:rPr>
          <w:rFonts w:ascii="Times New Roman" w:hAnsi="Times New Roman" w:cs="Times New Roman"/>
          <w:sz w:val="24"/>
          <w:szCs w:val="24"/>
        </w:rPr>
        <w:t>;</w:t>
      </w:r>
      <w:r w:rsidRPr="007F5499">
        <w:rPr>
          <w:rFonts w:ascii="Times New Roman" w:hAnsi="Times New Roman" w:cs="Times New Roman"/>
          <w:sz w:val="24"/>
          <w:szCs w:val="24"/>
        </w:rPr>
        <w:t xml:space="preserve"> similar</w:t>
      </w:r>
      <w:r w:rsidR="00637166">
        <w:rPr>
          <w:rFonts w:ascii="Times New Roman" w:hAnsi="Times New Roman" w:cs="Times New Roman"/>
          <w:sz w:val="24"/>
          <w:szCs w:val="24"/>
        </w:rPr>
        <w:t>ly,</w:t>
      </w:r>
      <w:r w:rsidRPr="007F5499">
        <w:rPr>
          <w:rFonts w:ascii="Times New Roman" w:hAnsi="Times New Roman" w:cs="Times New Roman"/>
          <w:sz w:val="24"/>
          <w:szCs w:val="24"/>
        </w:rPr>
        <w:t xml:space="preserve"> </w:t>
      </w:r>
      <w:proofErr w:type="spellStart"/>
      <w:r w:rsidRPr="007F5499">
        <w:rPr>
          <w:rFonts w:ascii="Times New Roman" w:hAnsi="Times New Roman" w:cs="Times New Roman"/>
          <w:sz w:val="24"/>
          <w:szCs w:val="24"/>
        </w:rPr>
        <w:t>Gabryelczyk</w:t>
      </w:r>
      <w:proofErr w:type="spellEnd"/>
      <w:r w:rsidRPr="007F5499">
        <w:rPr>
          <w:rFonts w:ascii="Times New Roman" w:hAnsi="Times New Roman" w:cs="Times New Roman"/>
          <w:sz w:val="24"/>
          <w:szCs w:val="24"/>
        </w:rPr>
        <w:t xml:space="preserve"> 2020). The authors see this development as “an opportunity for scholars and practitioners to observe how governments and organisations have acted and reacted over a short period, providing important lessons for the </w:t>
      </w:r>
      <w:r w:rsidRPr="007F5499">
        <w:rPr>
          <w:rFonts w:ascii="Times New Roman" w:eastAsia="Calibri" w:hAnsi="Times New Roman" w:cs="Times New Roman"/>
          <w:sz w:val="24"/>
          <w:szCs w:val="24"/>
        </w:rPr>
        <w:t xml:space="preserve">future” </w:t>
      </w:r>
      <w:r w:rsidRPr="007F5499">
        <w:rPr>
          <w:rFonts w:ascii="Times New Roman" w:hAnsi="Times New Roman" w:cs="Times New Roman"/>
          <w:sz w:val="24"/>
          <w:szCs w:val="24"/>
        </w:rPr>
        <w:t>(p. 69).</w:t>
      </w:r>
    </w:p>
    <w:p w14:paraId="0C55CE1F" w14:textId="6F042FE0" w:rsidR="00287128" w:rsidRPr="00AA2282" w:rsidRDefault="00066F6D" w:rsidP="00DB1E77">
      <w:pPr>
        <w:spacing w:line="360" w:lineRule="auto"/>
        <w:jc w:val="both"/>
        <w:rPr>
          <w:rFonts w:ascii="Times New Roman" w:hAnsi="Times New Roman" w:cs="Times New Roman"/>
          <w:i/>
          <w:sz w:val="24"/>
          <w:szCs w:val="24"/>
        </w:rPr>
      </w:pPr>
      <w:r w:rsidRPr="007F5499">
        <w:rPr>
          <w:rFonts w:ascii="Times New Roman" w:hAnsi="Times New Roman" w:cs="Times New Roman"/>
          <w:sz w:val="24"/>
          <w:szCs w:val="24"/>
        </w:rPr>
        <w:t xml:space="preserve">We contribute to this research by analysing the impact of the use of digitalized communication tools on the effectiveness of service provision by various European local administrative authorities in the </w:t>
      </w:r>
      <w:r w:rsidRPr="007F5499">
        <w:rPr>
          <w:rFonts w:ascii="Times New Roman" w:eastAsia="Calibri" w:hAnsi="Times New Roman" w:cs="Times New Roman"/>
          <w:sz w:val="24"/>
          <w:szCs w:val="24"/>
        </w:rPr>
        <w:t>COVID</w:t>
      </w:r>
      <w:r w:rsidR="00FF408A">
        <w:rPr>
          <w:rFonts w:ascii="Times New Roman" w:hAnsi="Times New Roman" w:cs="Times New Roman"/>
          <w:sz w:val="24"/>
          <w:szCs w:val="24"/>
        </w:rPr>
        <w:t>-19 pande</w:t>
      </w:r>
      <w:r w:rsidR="00FF408A">
        <w:rPr>
          <w:rFonts w:ascii="Times New Roman" w:hAnsi="Times New Roman" w:cs="Times New Roman"/>
          <w:sz w:val="24"/>
          <w:szCs w:val="24"/>
        </w:rPr>
        <w:softHyphen/>
        <w:t>mic. The digitali</w:t>
      </w:r>
      <w:r w:rsidR="00637166">
        <w:rPr>
          <w:rFonts w:ascii="Times New Roman" w:hAnsi="Times New Roman" w:cs="Times New Roman"/>
          <w:sz w:val="24"/>
          <w:szCs w:val="24"/>
        </w:rPr>
        <w:t>z</w:t>
      </w:r>
      <w:r w:rsidR="00FF408A">
        <w:rPr>
          <w:rFonts w:ascii="Times New Roman" w:hAnsi="Times New Roman" w:cs="Times New Roman"/>
          <w:sz w:val="24"/>
          <w:szCs w:val="24"/>
        </w:rPr>
        <w:t xml:space="preserve">ation of public sector communication with citizens, firms and other parties has been </w:t>
      </w:r>
      <w:r w:rsidR="00637166">
        <w:rPr>
          <w:rFonts w:ascii="Times New Roman" w:hAnsi="Times New Roman" w:cs="Times New Roman"/>
          <w:sz w:val="24"/>
          <w:szCs w:val="24"/>
        </w:rPr>
        <w:t>identified</w:t>
      </w:r>
      <w:r w:rsidR="00FF408A">
        <w:rPr>
          <w:rFonts w:ascii="Times New Roman" w:hAnsi="Times New Roman" w:cs="Times New Roman"/>
          <w:sz w:val="24"/>
          <w:szCs w:val="24"/>
        </w:rPr>
        <w:t xml:space="preserve"> as “one of the cornerstones of the digitalization of the public sector” (Andersen 2011, p. 439). In the current public management literature, the question of </w:t>
      </w:r>
      <w:r w:rsidRPr="00AA2282">
        <w:rPr>
          <w:rFonts w:ascii="Times New Roman" w:hAnsi="Times New Roman" w:cs="Times New Roman"/>
          <w:i/>
          <w:sz w:val="24"/>
          <w:szCs w:val="24"/>
        </w:rPr>
        <w:t>how</w:t>
      </w:r>
      <w:r w:rsidR="00385824">
        <w:rPr>
          <w:rFonts w:ascii="Times New Roman" w:hAnsi="Times New Roman" w:cs="Times New Roman"/>
          <w:sz w:val="24"/>
          <w:szCs w:val="24"/>
        </w:rPr>
        <w:t xml:space="preserve"> information is processed and communicated by public administrations is </w:t>
      </w:r>
      <w:r w:rsidR="00637166">
        <w:rPr>
          <w:rFonts w:ascii="Times New Roman" w:hAnsi="Times New Roman" w:cs="Times New Roman"/>
          <w:sz w:val="24"/>
          <w:szCs w:val="24"/>
        </w:rPr>
        <w:t>important</w:t>
      </w:r>
      <w:r w:rsidR="00385824">
        <w:rPr>
          <w:rFonts w:ascii="Times New Roman" w:hAnsi="Times New Roman" w:cs="Times New Roman"/>
          <w:sz w:val="24"/>
          <w:szCs w:val="24"/>
        </w:rPr>
        <w:t xml:space="preserve"> for responding adequately to the COVID-19 crisis (e.g., Phillips et al. 2021). Because little knowledge exists</w:t>
      </w:r>
      <w:r w:rsidR="00637166">
        <w:rPr>
          <w:rFonts w:ascii="Times New Roman" w:hAnsi="Times New Roman" w:cs="Times New Roman"/>
          <w:sz w:val="24"/>
          <w:szCs w:val="24"/>
        </w:rPr>
        <w:t xml:space="preserve"> regarding</w:t>
      </w:r>
      <w:r w:rsidR="00385824">
        <w:rPr>
          <w:rFonts w:ascii="Times New Roman" w:hAnsi="Times New Roman" w:cs="Times New Roman"/>
          <w:sz w:val="24"/>
          <w:szCs w:val="24"/>
        </w:rPr>
        <w:t xml:space="preserve"> how communication to citizens has been rearranged by local administrations</w:t>
      </w:r>
      <w:r w:rsidR="00637166">
        <w:rPr>
          <w:rFonts w:ascii="Times New Roman" w:hAnsi="Times New Roman" w:cs="Times New Roman"/>
          <w:sz w:val="24"/>
          <w:szCs w:val="24"/>
        </w:rPr>
        <w:t>,</w:t>
      </w:r>
      <w:r w:rsidR="00385824">
        <w:rPr>
          <w:rFonts w:ascii="Times New Roman" w:hAnsi="Times New Roman" w:cs="Times New Roman"/>
          <w:sz w:val="24"/>
          <w:szCs w:val="24"/>
        </w:rPr>
        <w:t xml:space="preserve"> which are </w:t>
      </w:r>
      <w:r w:rsidR="00637166">
        <w:rPr>
          <w:rFonts w:ascii="Times New Roman" w:hAnsi="Times New Roman" w:cs="Times New Roman"/>
          <w:sz w:val="24"/>
          <w:szCs w:val="24"/>
        </w:rPr>
        <w:t>primary</w:t>
      </w:r>
      <w:r w:rsidR="00385824">
        <w:rPr>
          <w:rFonts w:ascii="Times New Roman" w:hAnsi="Times New Roman" w:cs="Times New Roman"/>
          <w:sz w:val="24"/>
          <w:szCs w:val="24"/>
        </w:rPr>
        <w:t xml:space="preserve"> providers of services to citizens in the </w:t>
      </w:r>
      <w:r w:rsidR="00385824">
        <w:rPr>
          <w:rFonts w:ascii="Times New Roman" w:hAnsi="Times New Roman" w:cs="Times New Roman"/>
          <w:sz w:val="24"/>
          <w:szCs w:val="24"/>
        </w:rPr>
        <w:lastRenderedPageBreak/>
        <w:t xml:space="preserve">COVID-19 pandemic, we investigate the following research question: </w:t>
      </w:r>
      <w:r w:rsidR="00385824" w:rsidRPr="00AA2282">
        <w:rPr>
          <w:rFonts w:ascii="Times New Roman" w:hAnsi="Times New Roman" w:cs="Times New Roman"/>
          <w:i/>
          <w:sz w:val="24"/>
          <w:szCs w:val="24"/>
        </w:rPr>
        <w:t xml:space="preserve">How does the use of digitalized communication tools affect the effectiveness of public service </w:t>
      </w:r>
      <w:r w:rsidR="00637166">
        <w:rPr>
          <w:rFonts w:ascii="Times New Roman" w:hAnsi="Times New Roman" w:cs="Times New Roman"/>
          <w:i/>
          <w:sz w:val="24"/>
          <w:szCs w:val="24"/>
        </w:rPr>
        <w:t xml:space="preserve">provision </w:t>
      </w:r>
      <w:r w:rsidR="00385824" w:rsidRPr="00AA2282">
        <w:rPr>
          <w:rFonts w:ascii="Times New Roman" w:hAnsi="Times New Roman" w:cs="Times New Roman"/>
          <w:i/>
          <w:sz w:val="24"/>
          <w:szCs w:val="24"/>
        </w:rPr>
        <w:t>by local administrative authorities in the COVID 19 pandemic?</w:t>
      </w:r>
    </w:p>
    <w:p w14:paraId="261C011C" w14:textId="39EB923A" w:rsidR="00E32E5A" w:rsidRDefault="008F3BD1" w:rsidP="00385824">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We focus on the service provision of local administrative authorities because they </w:t>
      </w:r>
      <w:r w:rsidR="0038316C">
        <w:rPr>
          <w:rFonts w:ascii="Times New Roman" w:hAnsi="Times New Roman" w:cs="Times New Roman"/>
          <w:sz w:val="24"/>
          <w:szCs w:val="24"/>
        </w:rPr>
        <w:t>strongly</w:t>
      </w:r>
      <w:r w:rsidRPr="007F5499">
        <w:rPr>
          <w:rFonts w:ascii="Times New Roman" w:hAnsi="Times New Roman" w:cs="Times New Roman"/>
          <w:sz w:val="24"/>
          <w:szCs w:val="24"/>
        </w:rPr>
        <w:t xml:space="preserve"> affect the satisfaction of individuals and organi</w:t>
      </w:r>
      <w:r w:rsidR="0038316C">
        <w:rPr>
          <w:rFonts w:ascii="Times New Roman" w:hAnsi="Times New Roman" w:cs="Times New Roman"/>
          <w:sz w:val="24"/>
          <w:szCs w:val="24"/>
        </w:rPr>
        <w:t>z</w:t>
      </w:r>
      <w:r w:rsidRPr="007F5499">
        <w:rPr>
          <w:rFonts w:ascii="Times New Roman" w:hAnsi="Times New Roman" w:cs="Times New Roman"/>
          <w:sz w:val="24"/>
          <w:szCs w:val="24"/>
        </w:rPr>
        <w:t xml:space="preserve">ations with the state. Local administrative authorities typically provide services directly to their citizens (Fleischer and Carstens 2021). They </w:t>
      </w:r>
      <w:r w:rsidR="0038316C">
        <w:rPr>
          <w:rFonts w:ascii="Times New Roman" w:hAnsi="Times New Roman" w:cs="Times New Roman"/>
          <w:sz w:val="24"/>
          <w:szCs w:val="24"/>
        </w:rPr>
        <w:t>inter</w:t>
      </w:r>
      <w:r w:rsidRPr="007F5499">
        <w:rPr>
          <w:rFonts w:ascii="Times New Roman" w:hAnsi="Times New Roman" w:cs="Times New Roman"/>
          <w:sz w:val="24"/>
          <w:szCs w:val="24"/>
        </w:rPr>
        <w:t xml:space="preserve">act very closely with individuals, local firms and other stakeholders and provide services that have a high impact on citizens’ and firms’ well-being or financial situation. </w:t>
      </w:r>
      <w:r w:rsidRPr="007F5499">
        <w:rPr>
          <w:rFonts w:ascii="Times New Roman" w:eastAsia="Calibri" w:hAnsi="Times New Roman" w:cs="Times New Roman"/>
          <w:sz w:val="24"/>
          <w:szCs w:val="24"/>
        </w:rPr>
        <w:t>For example</w:t>
      </w:r>
      <w:r w:rsidRPr="007F5499">
        <w:rPr>
          <w:rFonts w:ascii="Times New Roman" w:hAnsi="Times New Roman" w:cs="Times New Roman"/>
          <w:sz w:val="24"/>
          <w:szCs w:val="24"/>
        </w:rPr>
        <w:t>, German counties are responsible for state-driven health care activities, provide buildings and infrastructure for schooling, and are responsible for building permissions and alien affairs. In Slovenia, local administrative authorities issue building permits, register residence, issue foreigners’ visas, grant traffic</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and agriculture</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related licences, etc. In Poland (districts and communities) and the Czech Republic (municipalities), the respective entities take care of service more than authority</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oriented matters, such as taking care of local land use or healthcare.</w:t>
      </w:r>
    </w:p>
    <w:p w14:paraId="660028FF" w14:textId="30D58F41" w:rsidR="00E07034" w:rsidRPr="007F5499" w:rsidRDefault="00066F6D" w:rsidP="00E07034">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data for this study were collected in an international survey examining the impact of the first wave of the </w:t>
      </w:r>
      <w:r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 xml:space="preserve">-19 pandemic on local administrative authorities. </w:t>
      </w:r>
      <w:r>
        <w:rPr>
          <w:rFonts w:ascii="Times New Roman" w:eastAsia="Times New Roman" w:hAnsi="Times New Roman" w:cs="Times New Roman"/>
          <w:sz w:val="24"/>
          <w:szCs w:val="24"/>
          <w:lang w:eastAsia="de-DE"/>
        </w:rPr>
        <w:t xml:space="preserve">The target population were public managers responsible for managing local administrative authorities that provide public services </w:t>
      </w:r>
      <w:r w:rsidR="00CC6F3C">
        <w:rPr>
          <w:rFonts w:ascii="Times New Roman" w:eastAsia="Times New Roman" w:hAnsi="Times New Roman" w:cs="Times New Roman"/>
          <w:sz w:val="24"/>
          <w:szCs w:val="24"/>
          <w:lang w:eastAsia="de-DE"/>
        </w:rPr>
        <w:t>at</w:t>
      </w:r>
      <w:r>
        <w:rPr>
          <w:rFonts w:ascii="Times New Roman" w:eastAsia="Times New Roman" w:hAnsi="Times New Roman" w:cs="Times New Roman"/>
          <w:sz w:val="24"/>
          <w:szCs w:val="24"/>
          <w:lang w:eastAsia="de-DE"/>
        </w:rPr>
        <w:t xml:space="preserve"> the local level. </w:t>
      </w:r>
      <w:r>
        <w:rPr>
          <w:rFonts w:ascii="Times New Roman" w:hAnsi="Times New Roman" w:cs="Times New Roman"/>
          <w:sz w:val="24"/>
          <w:szCs w:val="24"/>
        </w:rPr>
        <w:t xml:space="preserve">This survey was disseminated </w:t>
      </w:r>
      <w:r w:rsidR="00CC6F3C">
        <w:rPr>
          <w:rFonts w:ascii="Times New Roman" w:hAnsi="Times New Roman" w:cs="Times New Roman"/>
          <w:sz w:val="24"/>
          <w:szCs w:val="24"/>
        </w:rPr>
        <w:t>to</w:t>
      </w:r>
      <w:r>
        <w:rPr>
          <w:rFonts w:ascii="Times New Roman" w:hAnsi="Times New Roman" w:cs="Times New Roman"/>
          <w:sz w:val="24"/>
          <w:szCs w:val="24"/>
        </w:rPr>
        <w:t xml:space="preserve"> participants from the Czech Republic, Germany, Poland, Slovenia and Romania. All </w:t>
      </w:r>
      <w:r w:rsidR="00CC6F3C">
        <w:rPr>
          <w:rFonts w:ascii="Times New Roman" w:hAnsi="Times New Roman" w:cs="Times New Roman"/>
          <w:sz w:val="24"/>
          <w:szCs w:val="24"/>
        </w:rPr>
        <w:t xml:space="preserve">of </w:t>
      </w:r>
      <w:r>
        <w:rPr>
          <w:rFonts w:ascii="Times New Roman" w:hAnsi="Times New Roman" w:cs="Times New Roman"/>
          <w:sz w:val="24"/>
          <w:szCs w:val="24"/>
        </w:rPr>
        <w:t xml:space="preserve">these </w:t>
      </w:r>
      <w:r w:rsidRPr="00DA1D94">
        <w:rPr>
          <w:rFonts w:ascii="Times New Roman" w:eastAsia="Times New Roman" w:hAnsi="Times New Roman" w:cs="Times New Roman"/>
          <w:sz w:val="24"/>
          <w:szCs w:val="24"/>
          <w:lang w:eastAsia="de-DE"/>
        </w:rPr>
        <w:t xml:space="preserve">countries are member states of the European Union and share strong and similar (Germanic) administrative traditions and regulatory frameworks. </w:t>
      </w:r>
      <w:r w:rsidR="00CC6F3C">
        <w:rPr>
          <w:rFonts w:ascii="Times New Roman" w:eastAsia="Times New Roman" w:hAnsi="Times New Roman" w:cs="Times New Roman"/>
          <w:sz w:val="24"/>
          <w:szCs w:val="24"/>
          <w:lang w:eastAsia="de-DE"/>
        </w:rPr>
        <w:t xml:space="preserve">Thus, they are </w:t>
      </w:r>
      <w:r w:rsidRPr="00DA1D94">
        <w:rPr>
          <w:rFonts w:ascii="Times New Roman" w:eastAsia="Times New Roman" w:hAnsi="Times New Roman" w:cs="Times New Roman"/>
          <w:sz w:val="24"/>
          <w:szCs w:val="24"/>
          <w:lang w:eastAsia="de-DE"/>
        </w:rPr>
        <w:t>a comparable group of countries</w:t>
      </w:r>
      <w:r w:rsidR="00CC6F3C">
        <w:rPr>
          <w:rFonts w:ascii="Times New Roman" w:eastAsia="Times New Roman" w:hAnsi="Times New Roman" w:cs="Times New Roman"/>
          <w:sz w:val="24"/>
          <w:szCs w:val="24"/>
          <w:lang w:eastAsia="de-DE"/>
        </w:rPr>
        <w:t>. In contrast,</w:t>
      </w:r>
      <w:r w:rsidRPr="00DA1D94">
        <w:rPr>
          <w:rFonts w:ascii="Times New Roman" w:eastAsia="Times New Roman" w:hAnsi="Times New Roman" w:cs="Times New Roman"/>
          <w:sz w:val="24"/>
          <w:szCs w:val="24"/>
          <w:lang w:eastAsia="de-DE"/>
        </w:rPr>
        <w:t xml:space="preserve"> other groups of European countries </w:t>
      </w:r>
      <w:r w:rsidR="00CC6F3C">
        <w:rPr>
          <w:rFonts w:ascii="Times New Roman" w:eastAsia="Times New Roman" w:hAnsi="Times New Roman" w:cs="Times New Roman"/>
          <w:sz w:val="24"/>
          <w:szCs w:val="24"/>
          <w:lang w:eastAsia="de-DE"/>
        </w:rPr>
        <w:t>have</w:t>
      </w:r>
      <w:r w:rsidRPr="00DA1D94">
        <w:rPr>
          <w:rFonts w:ascii="Times New Roman" w:eastAsia="Times New Roman" w:hAnsi="Times New Roman" w:cs="Times New Roman"/>
          <w:sz w:val="24"/>
          <w:szCs w:val="24"/>
          <w:lang w:eastAsia="de-DE"/>
        </w:rPr>
        <w:t xml:space="preserve"> completely different administrative traditions, especially Francophone and Scandinavian countries </w:t>
      </w:r>
      <w:r w:rsidRPr="007F5499">
        <w:rPr>
          <w:rFonts w:ascii="Times New Roman" w:hAnsi="Times New Roman" w:cs="Times New Roman"/>
          <w:sz w:val="24"/>
          <w:szCs w:val="24"/>
        </w:rPr>
        <w:t>(Aristovnik et al. 2021; Bouckaert et al. 2020; Kuhlmann and Wollmann 2019).</w:t>
      </w:r>
      <w:r w:rsidRPr="007F5499">
        <w:rPr>
          <w:rStyle w:val="Funotenzeichen"/>
          <w:rFonts w:ascii="Times New Roman" w:eastAsia="Times New Roman" w:hAnsi="Times New Roman" w:cs="Times New Roman"/>
          <w:sz w:val="24"/>
          <w:szCs w:val="24"/>
          <w:lang w:eastAsia="de-DE"/>
        </w:rPr>
        <w:t xml:space="preserve"> </w:t>
      </w:r>
    </w:p>
    <w:p w14:paraId="55E7AECC" w14:textId="38C07C5C" w:rsidR="00B271C8" w:rsidRDefault="000900A2"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empirical data confirm the impact of digitalized communication of the service performance of public authorities in all countries but indicate no country effect. </w:t>
      </w:r>
      <w:r w:rsidR="00CC6F3C">
        <w:rPr>
          <w:rFonts w:ascii="Times New Roman" w:hAnsi="Times New Roman" w:cs="Times New Roman"/>
          <w:sz w:val="24"/>
          <w:szCs w:val="24"/>
        </w:rPr>
        <w:t>W</w:t>
      </w:r>
      <w:r w:rsidRPr="007F5499">
        <w:rPr>
          <w:rFonts w:ascii="Times New Roman" w:hAnsi="Times New Roman" w:cs="Times New Roman"/>
          <w:sz w:val="24"/>
          <w:szCs w:val="24"/>
        </w:rPr>
        <w:t xml:space="preserve">e </w:t>
      </w:r>
      <w:r w:rsidR="00CC6F3C">
        <w:rPr>
          <w:rFonts w:ascii="Times New Roman" w:hAnsi="Times New Roman" w:cs="Times New Roman"/>
          <w:sz w:val="24"/>
          <w:szCs w:val="24"/>
        </w:rPr>
        <w:t xml:space="preserve">thus </w:t>
      </w:r>
      <w:r w:rsidRPr="007F5499">
        <w:rPr>
          <w:rFonts w:ascii="Times New Roman" w:hAnsi="Times New Roman" w:cs="Times New Roman"/>
          <w:sz w:val="24"/>
          <w:szCs w:val="24"/>
        </w:rPr>
        <w:t xml:space="preserve">contribute to the emerging literature </w:t>
      </w:r>
      <w:r w:rsidR="00CC6F3C">
        <w:rPr>
          <w:rFonts w:ascii="Times New Roman" w:hAnsi="Times New Roman" w:cs="Times New Roman"/>
          <w:sz w:val="24"/>
          <w:szCs w:val="24"/>
        </w:rPr>
        <w:t>on</w:t>
      </w:r>
      <w:r w:rsidR="00CC6F3C" w:rsidRPr="007F5499">
        <w:rPr>
          <w:rFonts w:ascii="Times New Roman" w:hAnsi="Times New Roman" w:cs="Times New Roman"/>
          <w:sz w:val="24"/>
          <w:szCs w:val="24"/>
        </w:rPr>
        <w:t xml:space="preserve"> </w:t>
      </w:r>
      <w:r w:rsidRPr="007F5499">
        <w:rPr>
          <w:rFonts w:ascii="Times New Roman" w:hAnsi="Times New Roman" w:cs="Times New Roman"/>
          <w:sz w:val="24"/>
          <w:szCs w:val="24"/>
        </w:rPr>
        <w:t xml:space="preserve">the consequences of the </w:t>
      </w:r>
      <w:r w:rsidRPr="007F5499">
        <w:rPr>
          <w:rFonts w:ascii="Times New Roman" w:eastAsia="Calibri" w:hAnsi="Times New Roman" w:cs="Times New Roman"/>
          <w:sz w:val="24"/>
          <w:szCs w:val="24"/>
        </w:rPr>
        <w:t>COVID</w:t>
      </w:r>
      <w:r w:rsidR="00B8584D" w:rsidRPr="007F5499">
        <w:rPr>
          <w:rFonts w:ascii="Times New Roman" w:hAnsi="Times New Roman" w:cs="Times New Roman"/>
          <w:sz w:val="24"/>
          <w:szCs w:val="24"/>
        </w:rPr>
        <w:t xml:space="preserve">-19 pandemic </w:t>
      </w:r>
      <w:r w:rsidR="00CC6F3C">
        <w:rPr>
          <w:rFonts w:ascii="Times New Roman" w:hAnsi="Times New Roman" w:cs="Times New Roman"/>
          <w:sz w:val="24"/>
          <w:szCs w:val="24"/>
        </w:rPr>
        <w:t>for</w:t>
      </w:r>
      <w:r w:rsidR="00CC6F3C" w:rsidRPr="007F5499">
        <w:rPr>
          <w:rFonts w:ascii="Times New Roman" w:hAnsi="Times New Roman" w:cs="Times New Roman"/>
          <w:sz w:val="24"/>
          <w:szCs w:val="24"/>
        </w:rPr>
        <w:t xml:space="preserve"> </w:t>
      </w:r>
      <w:r w:rsidR="00B8584D" w:rsidRPr="007F5499">
        <w:rPr>
          <w:rFonts w:ascii="Times New Roman" w:hAnsi="Times New Roman" w:cs="Times New Roman"/>
          <w:sz w:val="24"/>
          <w:szCs w:val="24"/>
        </w:rPr>
        <w:t xml:space="preserve">administrative procedures conducted by public institutions. While previous literature has focused on consequences for </w:t>
      </w:r>
      <w:r w:rsidR="00CC6F3C" w:rsidRPr="007F5499">
        <w:rPr>
          <w:rFonts w:ascii="Times New Roman" w:hAnsi="Times New Roman" w:cs="Times New Roman"/>
          <w:sz w:val="24"/>
          <w:szCs w:val="24"/>
        </w:rPr>
        <w:t xml:space="preserve">either </w:t>
      </w:r>
      <w:r w:rsidR="00B8584D" w:rsidRPr="007F5499">
        <w:rPr>
          <w:rFonts w:ascii="Times New Roman" w:hAnsi="Times New Roman" w:cs="Times New Roman"/>
          <w:sz w:val="24"/>
          <w:szCs w:val="24"/>
        </w:rPr>
        <w:t>leadership, work organi</w:t>
      </w:r>
      <w:r w:rsidR="00CC6F3C">
        <w:rPr>
          <w:rFonts w:ascii="Times New Roman" w:hAnsi="Times New Roman" w:cs="Times New Roman"/>
          <w:sz w:val="24"/>
          <w:szCs w:val="24"/>
        </w:rPr>
        <w:t>z</w:t>
      </w:r>
      <w:r w:rsidR="00B8584D" w:rsidRPr="007F5499">
        <w:rPr>
          <w:rFonts w:ascii="Times New Roman" w:hAnsi="Times New Roman" w:cs="Times New Roman"/>
          <w:sz w:val="24"/>
          <w:szCs w:val="24"/>
        </w:rPr>
        <w:t xml:space="preserve">ation or cultural aspects (Phillips et al. 2021; Ansell et al. 2021, Parker 2020; Gabryelczyk 2020), our study </w:t>
      </w:r>
      <w:r w:rsidR="00CC6F3C">
        <w:rPr>
          <w:rFonts w:ascii="Times New Roman" w:hAnsi="Times New Roman" w:cs="Times New Roman"/>
          <w:sz w:val="24"/>
          <w:szCs w:val="24"/>
        </w:rPr>
        <w:t>provides</w:t>
      </w:r>
      <w:r w:rsidR="00B8584D" w:rsidRPr="007F5499">
        <w:rPr>
          <w:rFonts w:ascii="Times New Roman" w:hAnsi="Times New Roman" w:cs="Times New Roman"/>
          <w:sz w:val="24"/>
          <w:szCs w:val="24"/>
        </w:rPr>
        <w:t xml:space="preserve"> insights on the success of using digitalized communication tools in local administrative authorities. It confirms previous observations </w:t>
      </w:r>
      <w:r w:rsidR="00CC6F3C">
        <w:rPr>
          <w:rFonts w:ascii="Times New Roman" w:hAnsi="Times New Roman" w:cs="Times New Roman"/>
          <w:sz w:val="24"/>
          <w:szCs w:val="24"/>
        </w:rPr>
        <w:t>of</w:t>
      </w:r>
      <w:r w:rsidR="00B8584D" w:rsidRPr="007F5499">
        <w:rPr>
          <w:rFonts w:ascii="Times New Roman" w:hAnsi="Times New Roman" w:cs="Times New Roman"/>
          <w:sz w:val="24"/>
          <w:szCs w:val="24"/>
        </w:rPr>
        <w:t xml:space="preserve"> a COVID-19 driven acceleration of digitali</w:t>
      </w:r>
      <w:r w:rsidR="00CC6F3C">
        <w:rPr>
          <w:rFonts w:ascii="Times New Roman" w:hAnsi="Times New Roman" w:cs="Times New Roman"/>
          <w:sz w:val="24"/>
          <w:szCs w:val="24"/>
        </w:rPr>
        <w:t>z</w:t>
      </w:r>
      <w:r w:rsidR="00B8584D" w:rsidRPr="007F5499">
        <w:rPr>
          <w:rFonts w:ascii="Times New Roman" w:hAnsi="Times New Roman" w:cs="Times New Roman"/>
          <w:sz w:val="24"/>
          <w:szCs w:val="24"/>
        </w:rPr>
        <w:t xml:space="preserve">ed procedures in public </w:t>
      </w:r>
      <w:r w:rsidR="00B8584D" w:rsidRPr="007F5499">
        <w:rPr>
          <w:rFonts w:ascii="Times New Roman" w:hAnsi="Times New Roman" w:cs="Times New Roman"/>
          <w:sz w:val="24"/>
          <w:szCs w:val="24"/>
        </w:rPr>
        <w:lastRenderedPageBreak/>
        <w:t xml:space="preserve">administrations. As we find a mediating effect of good governance orientation and </w:t>
      </w:r>
      <w:r w:rsidR="00B8584D" w:rsidRPr="007F5499">
        <w:rPr>
          <w:rFonts w:ascii="Times New Roman" w:eastAsia="Calibri" w:hAnsi="Times New Roman" w:cs="Times New Roman"/>
          <w:sz w:val="24"/>
          <w:szCs w:val="24"/>
        </w:rPr>
        <w:t>COVID</w:t>
      </w:r>
      <w:r w:rsidR="00B8584D" w:rsidRPr="007F5499">
        <w:rPr>
          <w:rFonts w:ascii="Times New Roman" w:hAnsi="Times New Roman" w:cs="Times New Roman"/>
          <w:sz w:val="24"/>
          <w:szCs w:val="24"/>
        </w:rPr>
        <w:t>-19</w:t>
      </w:r>
      <w:r w:rsidR="00B8584D" w:rsidRPr="007F5499">
        <w:rPr>
          <w:rFonts w:ascii="Times New Roman" w:eastAsia="Calibri" w:hAnsi="Times New Roman" w:cs="Times New Roman"/>
          <w:sz w:val="24"/>
          <w:szCs w:val="24"/>
        </w:rPr>
        <w:t>-</w:t>
      </w:r>
      <w:r w:rsidR="002E5C66">
        <w:rPr>
          <w:rFonts w:ascii="Times New Roman" w:hAnsi="Times New Roman" w:cs="Times New Roman"/>
          <w:sz w:val="24"/>
          <w:szCs w:val="24"/>
        </w:rPr>
        <w:t>driven new legislation on this relationship</w:t>
      </w:r>
      <w:r w:rsidR="00CC6F3C">
        <w:rPr>
          <w:rFonts w:ascii="Times New Roman" w:hAnsi="Times New Roman" w:cs="Times New Roman"/>
          <w:sz w:val="24"/>
          <w:szCs w:val="24"/>
        </w:rPr>
        <w:t>,</w:t>
      </w:r>
      <w:r w:rsidR="002E5C66">
        <w:rPr>
          <w:rFonts w:ascii="Times New Roman" w:hAnsi="Times New Roman" w:cs="Times New Roman"/>
          <w:sz w:val="24"/>
          <w:szCs w:val="24"/>
        </w:rPr>
        <w:t xml:space="preserve"> our study is one of the first </w:t>
      </w:r>
      <w:r w:rsidR="00CC6F3C">
        <w:rPr>
          <w:rFonts w:ascii="Times New Roman" w:hAnsi="Times New Roman" w:cs="Times New Roman"/>
          <w:sz w:val="24"/>
          <w:szCs w:val="24"/>
        </w:rPr>
        <w:t>to provide</w:t>
      </w:r>
      <w:r w:rsidR="002E5C66">
        <w:rPr>
          <w:rFonts w:ascii="Times New Roman" w:hAnsi="Times New Roman" w:cs="Times New Roman"/>
          <w:sz w:val="24"/>
          <w:szCs w:val="24"/>
        </w:rPr>
        <w:t xml:space="preserve"> statistically confirmed insights into how </w:t>
      </w:r>
      <w:r w:rsidR="00CC6F3C">
        <w:rPr>
          <w:rFonts w:ascii="Times New Roman" w:hAnsi="Times New Roman" w:cs="Times New Roman"/>
          <w:sz w:val="24"/>
          <w:szCs w:val="24"/>
        </w:rPr>
        <w:t xml:space="preserve">the </w:t>
      </w:r>
      <w:r w:rsidR="002E5C66">
        <w:rPr>
          <w:rFonts w:ascii="Times New Roman" w:hAnsi="Times New Roman" w:cs="Times New Roman"/>
          <w:sz w:val="24"/>
          <w:szCs w:val="24"/>
        </w:rPr>
        <w:t>“governance mechanism may support information acquisition and transformation processes” (Aben et al. 2021, p. 1145) in the public sector.</w:t>
      </w:r>
    </w:p>
    <w:p w14:paraId="3429B881" w14:textId="4FCCF5A2" w:rsidR="0013119D"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paper is structured as follows. In Section 2, we derive a framework to determine whether and how the use of digitalized communication tools </w:t>
      </w:r>
      <w:r w:rsidRPr="007F5499">
        <w:rPr>
          <w:rFonts w:ascii="Times New Roman" w:eastAsia="Calibri" w:hAnsi="Times New Roman" w:cs="Times New Roman"/>
          <w:sz w:val="24"/>
          <w:szCs w:val="24"/>
        </w:rPr>
        <w:t>influences</w:t>
      </w:r>
      <w:r w:rsidRPr="007F5499">
        <w:rPr>
          <w:rFonts w:ascii="Times New Roman" w:hAnsi="Times New Roman" w:cs="Times New Roman"/>
          <w:sz w:val="24"/>
          <w:szCs w:val="24"/>
        </w:rPr>
        <w:t xml:space="preserve"> the effectiveness of local administrative authorities in terms of good governance. In Section 3, we describe our survey design and operationalize the different factors. In Section 4, we present the statistical results. Finally, we discuss the implications of our empirical findings (Section 5), consider the limitations of our study and offer suggestions for future research (Section 6).</w:t>
      </w:r>
    </w:p>
    <w:p w14:paraId="3F97F206" w14:textId="77777777" w:rsidR="001344BF" w:rsidRPr="007F5499" w:rsidRDefault="001344BF" w:rsidP="006656B2">
      <w:pPr>
        <w:spacing w:line="240" w:lineRule="auto"/>
        <w:jc w:val="both"/>
        <w:rPr>
          <w:rFonts w:ascii="Times New Roman" w:hAnsi="Times New Roman" w:cs="Times New Roman"/>
          <w:b/>
          <w:sz w:val="24"/>
          <w:szCs w:val="24"/>
        </w:rPr>
      </w:pPr>
    </w:p>
    <w:p w14:paraId="432C9CC2" w14:textId="0B28077C" w:rsidR="00344C2A" w:rsidRPr="007F5499" w:rsidRDefault="00066F6D" w:rsidP="006656B2">
      <w:pPr>
        <w:pStyle w:val="Listenabsatz"/>
        <w:numPr>
          <w:ilvl w:val="0"/>
          <w:numId w:val="6"/>
        </w:numPr>
        <w:spacing w:after="200" w:line="240" w:lineRule="auto"/>
        <w:ind w:left="0" w:firstLine="0"/>
        <w:rPr>
          <w:rFonts w:ascii="Times New Roman" w:hAnsi="Times New Roman" w:cs="Times New Roman"/>
          <w:b/>
          <w:sz w:val="24"/>
          <w:szCs w:val="24"/>
        </w:rPr>
      </w:pPr>
      <w:r w:rsidRPr="007F5499">
        <w:rPr>
          <w:rFonts w:ascii="Times New Roman" w:hAnsi="Times New Roman" w:cs="Times New Roman"/>
          <w:b/>
          <w:sz w:val="24"/>
          <w:szCs w:val="24"/>
        </w:rPr>
        <w:t>Theoretical framework and hypothesis development</w:t>
      </w:r>
    </w:p>
    <w:p w14:paraId="21868A62" w14:textId="04F83986" w:rsidR="0093681E" w:rsidRPr="007F5499" w:rsidRDefault="00066F6D" w:rsidP="006656B2">
      <w:pPr>
        <w:spacing w:line="240" w:lineRule="auto"/>
        <w:jc w:val="both"/>
        <w:rPr>
          <w:rFonts w:ascii="Times New Roman" w:hAnsi="Times New Roman" w:cs="Times New Roman"/>
          <w:b/>
          <w:sz w:val="24"/>
          <w:szCs w:val="24"/>
        </w:rPr>
      </w:pPr>
      <w:r w:rsidRPr="007F5499">
        <w:rPr>
          <w:rFonts w:ascii="Times New Roman" w:hAnsi="Times New Roman" w:cs="Times New Roman"/>
          <w:b/>
          <w:sz w:val="24"/>
          <w:szCs w:val="24"/>
        </w:rPr>
        <w:t>2.1 Administrative traditions as a framework for local administrative authorities’ work</w:t>
      </w:r>
    </w:p>
    <w:p w14:paraId="41778527" w14:textId="639EFCEE" w:rsidR="0042623A"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Administrative traditions are an important factor </w:t>
      </w:r>
      <w:r w:rsidR="00B8584D" w:rsidRPr="007F5499">
        <w:rPr>
          <w:rFonts w:ascii="Times New Roman" w:eastAsia="Calibri" w:hAnsi="Times New Roman" w:cs="Times New Roman"/>
          <w:sz w:val="24"/>
          <w:szCs w:val="24"/>
        </w:rPr>
        <w:t>in</w:t>
      </w:r>
      <w:r w:rsidRPr="007F5499">
        <w:rPr>
          <w:rFonts w:ascii="Times New Roman" w:hAnsi="Times New Roman" w:cs="Times New Roman"/>
          <w:sz w:val="24"/>
          <w:szCs w:val="24"/>
        </w:rPr>
        <w:t xml:space="preserve"> public administrations’ conduct and development. They incorporate various complex variables and are based on the historical development of a country or region, its culture, and the role of the state in society. An administrative tradition is a more or less enduring pattern in the style and substance of the public administration in a particular country or group of countries; it is seen as a composition of both ideas and structures (Painter and Peters 2010). Traditions include values and attitudes </w:t>
      </w:r>
      <w:r w:rsidR="00B8584D" w:rsidRPr="007F5499">
        <w:rPr>
          <w:rFonts w:ascii="Times New Roman" w:eastAsia="Calibri" w:hAnsi="Times New Roman" w:cs="Times New Roman"/>
          <w:sz w:val="24"/>
          <w:szCs w:val="24"/>
        </w:rPr>
        <w:t>towards</w:t>
      </w:r>
      <w:r w:rsidRPr="007F5499">
        <w:rPr>
          <w:rFonts w:ascii="Times New Roman" w:hAnsi="Times New Roman" w:cs="Times New Roman"/>
          <w:sz w:val="24"/>
          <w:szCs w:val="24"/>
        </w:rPr>
        <w:t xml:space="preserve"> administrators and their attitudes </w:t>
      </w:r>
      <w:r w:rsidR="00B8584D" w:rsidRPr="007F5499">
        <w:rPr>
          <w:rFonts w:ascii="Times New Roman" w:eastAsia="Calibri" w:hAnsi="Times New Roman" w:cs="Times New Roman"/>
          <w:sz w:val="24"/>
          <w:szCs w:val="24"/>
        </w:rPr>
        <w:t>towards</w:t>
      </w:r>
      <w:r w:rsidRPr="007F5499">
        <w:rPr>
          <w:rFonts w:ascii="Times New Roman" w:hAnsi="Times New Roman" w:cs="Times New Roman"/>
          <w:sz w:val="24"/>
          <w:szCs w:val="24"/>
        </w:rPr>
        <w:t xml:space="preserve"> citizens, the understanding of the rule of law, the economic system and prosperity or crises, the difference in power or authoritarian vs. participative orientation towards other stakeholders, the relations between politics and professionalism, law vs. management, (de)centralization of authorities, accountability relations, transition processes, etc. (ibid.).</w:t>
      </w:r>
    </w:p>
    <w:p w14:paraId="213C01CF" w14:textId="16BC5944" w:rsidR="00AF0EAF"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In Germany, the bureaucratic-legalistic logic has a long tradition and is deeply rooted in the public sector (Meyer and Hammerschmid 2006; Pina et al. 2009). This logic has various characteristics that influence people, structures, and practices within public sector organizations. For example, good governance is ensured by the Legalitätsprinzip (“principle of legality”), which permits administrative activity exclusively on the basis of laws and results in a strong focus on the legal and procedural correctness of each administrative act. On a structural level, a bureaucratic-legalistic logic is characterized by strong hierarchical structures ensured by Weisungsprinzip (“principle of directives”), which means setting directives as the main governance mode (Meyer and Hammerschmid 2006).</w:t>
      </w:r>
    </w:p>
    <w:p w14:paraId="161E3778" w14:textId="41C36BD9" w:rsidR="00F429D0" w:rsidRPr="007F5499" w:rsidRDefault="00B8584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lastRenderedPageBreak/>
        <w:t>In the Czech Republic, Poland and Slovenia, a classical continental European administrative culture exists in which “the legality principle and legal perspective have dominated the performance (efficiency) principle” (Bohata 2020, p. 22; similar Kovač et al. 2016; Ropret et al. 2020). Nevertheless, there are some evident differences, especially concerning the Central Eastern countries with a communist history (Kovač and Bileišis 2017). Here, Poland and the Czech Republic are part of</w:t>
      </w:r>
      <w:r w:rsidRPr="007F5499">
        <w:rPr>
          <w:rFonts w:ascii="Times New Roman" w:eastAsia="Calibri" w:hAnsi="Times New Roman" w:cs="Times New Roman"/>
          <w:sz w:val="24"/>
          <w:szCs w:val="24"/>
        </w:rPr>
        <w:t xml:space="preserve"> the</w:t>
      </w:r>
      <w:r w:rsidRPr="007F5499">
        <w:rPr>
          <w:rFonts w:ascii="Times New Roman" w:hAnsi="Times New Roman" w:cs="Times New Roman"/>
          <w:sz w:val="24"/>
          <w:szCs w:val="24"/>
        </w:rPr>
        <w:t xml:space="preserve"> Visegrad group under major Soviet influence, while Romania not only experienced Soviet governance but was also under the influence of </w:t>
      </w:r>
      <w:r w:rsidRPr="007F5499">
        <w:rPr>
          <w:rFonts w:ascii="Times New Roman" w:eastAsia="Calibri" w:hAnsi="Times New Roman" w:cs="Times New Roman"/>
          <w:sz w:val="24"/>
          <w:szCs w:val="24"/>
        </w:rPr>
        <w:t xml:space="preserve">the </w:t>
      </w:r>
      <w:r w:rsidRPr="007F5499">
        <w:rPr>
          <w:rFonts w:ascii="Times New Roman" w:hAnsi="Times New Roman" w:cs="Times New Roman"/>
          <w:sz w:val="24"/>
          <w:szCs w:val="24"/>
        </w:rPr>
        <w:t xml:space="preserve">French administrative state legacy. Slovenia, being rather independent of </w:t>
      </w:r>
      <w:r w:rsidRPr="007F5499">
        <w:rPr>
          <w:rFonts w:ascii="Times New Roman" w:eastAsia="Calibri" w:hAnsi="Times New Roman" w:cs="Times New Roman"/>
          <w:sz w:val="24"/>
          <w:szCs w:val="24"/>
        </w:rPr>
        <w:t xml:space="preserve">the </w:t>
      </w:r>
      <w:r w:rsidRPr="007F5499">
        <w:rPr>
          <w:rFonts w:ascii="Times New Roman" w:hAnsi="Times New Roman" w:cs="Times New Roman"/>
          <w:sz w:val="24"/>
          <w:szCs w:val="24"/>
        </w:rPr>
        <w:t xml:space="preserve">Soviet Union despite the decades of socialism in former Yugoslavia, has continued to express a mixture of Rechtsstaat tradition based on its Austrian-Hungarian history and post-socialist transitional processes. </w:t>
      </w:r>
      <w:r w:rsidRPr="007F5499">
        <w:rPr>
          <w:rFonts w:ascii="Times New Roman" w:eastAsia="Calibri" w:hAnsi="Times New Roman" w:cs="Times New Roman"/>
          <w:sz w:val="24"/>
          <w:szCs w:val="24"/>
        </w:rPr>
        <w:t>However</w:t>
      </w:r>
      <w:r w:rsidRPr="007F5499">
        <w:rPr>
          <w:rFonts w:ascii="Times New Roman" w:hAnsi="Times New Roman" w:cs="Times New Roman"/>
          <w:sz w:val="24"/>
          <w:szCs w:val="24"/>
        </w:rPr>
        <w:t>, despite all these peculiarities, after 30 years of independence, especially for Slovenia and the Czech Republic and informally for Poland and Romania, strong convergence of administrative principles and governance can be observed based on these countries’ full membership of the EU (Hammerschmid et al. 2016).</w:t>
      </w:r>
    </w:p>
    <w:p w14:paraId="2042C532" w14:textId="1EF91F96" w:rsidR="00EC0F10" w:rsidRPr="007F5499" w:rsidRDefault="00D7627E"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A more in-depth examination of various elements in individual countries reveals that in some countries, public administration reforms are more top-down oriented than in Germany and other countries (see more in the national chapters in Kovač and Bileišis 2017). This can be attributed to the level of change accompanying the break with communism, as in Poland, Romania and the Czech Republic, or the small size of the country, as characteristic for Slovenia. The same can be identified for the administrative structures and level of (de)centralization. Recently, more managerially oriented approaches and rationalization of public funds have been introduced in Romania based on the New Public Management (NPM) model as in countries of rather Weberian traditions, such as Slovenia, the Czech Republic and to some degree, Poland. </w:t>
      </w:r>
      <w:r w:rsidR="00B8584D" w:rsidRPr="007F5499">
        <w:rPr>
          <w:rFonts w:ascii="Times New Roman" w:eastAsia="Calibri" w:hAnsi="Times New Roman" w:cs="Times New Roman"/>
          <w:sz w:val="24"/>
          <w:szCs w:val="24"/>
        </w:rPr>
        <w:t>Thus</w:t>
      </w:r>
      <w:r w:rsidRPr="007F5499">
        <w:rPr>
          <w:rFonts w:ascii="Times New Roman" w:hAnsi="Times New Roman" w:cs="Times New Roman"/>
          <w:sz w:val="24"/>
          <w:szCs w:val="24"/>
        </w:rPr>
        <w:t xml:space="preserve">, a focus on administrative procedures as a framework to primarily protect public interest above delivering individual rights is still much more relevant in Slovenia, Germany, and the Czech Republic than in Poland and Romania. On the other hand, the procedural focus </w:t>
      </w:r>
      <w:r w:rsidR="00B8584D" w:rsidRPr="007F5499">
        <w:rPr>
          <w:rFonts w:ascii="Times New Roman" w:eastAsia="Calibri" w:hAnsi="Times New Roman" w:cs="Times New Roman"/>
          <w:sz w:val="24"/>
          <w:szCs w:val="24"/>
        </w:rPr>
        <w:t xml:space="preserve">usually </w:t>
      </w:r>
      <w:r w:rsidRPr="007F5499">
        <w:rPr>
          <w:rFonts w:ascii="Times New Roman" w:hAnsi="Times New Roman" w:cs="Times New Roman"/>
          <w:sz w:val="24"/>
          <w:szCs w:val="24"/>
        </w:rPr>
        <w:t>contributes to higher transparency and accountability, albeit lower responsiveness, participation and efficiency.</w:t>
      </w:r>
    </w:p>
    <w:p w14:paraId="3C93D765" w14:textId="010D3715" w:rsidR="00667632"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These national differences are expected to influence the institutional settings of local administrative authorities, </w:t>
      </w:r>
      <w:r w:rsidRPr="007F5499">
        <w:rPr>
          <w:rFonts w:ascii="Times New Roman" w:eastAsia="Calibri" w:hAnsi="Times New Roman" w:cs="Times New Roman"/>
          <w:sz w:val="24"/>
          <w:szCs w:val="24"/>
        </w:rPr>
        <w:t>such as</w:t>
      </w:r>
      <w:r w:rsidRPr="007F5499">
        <w:rPr>
          <w:rFonts w:ascii="Times New Roman" w:hAnsi="Times New Roman" w:cs="Times New Roman"/>
          <w:sz w:val="24"/>
          <w:szCs w:val="24"/>
        </w:rPr>
        <w:t xml:space="preserve"> counties, communities or local administrative units.</w:t>
      </w:r>
    </w:p>
    <w:p w14:paraId="0EBB1B6E" w14:textId="77777777" w:rsidR="00EC4F06" w:rsidRPr="007F5499" w:rsidRDefault="00EC4F06" w:rsidP="00B341EF">
      <w:pPr>
        <w:spacing w:line="360" w:lineRule="auto"/>
        <w:jc w:val="both"/>
        <w:rPr>
          <w:rFonts w:ascii="Times New Roman" w:hAnsi="Times New Roman" w:cs="Times New Roman"/>
          <w:sz w:val="24"/>
          <w:szCs w:val="24"/>
        </w:rPr>
      </w:pPr>
    </w:p>
    <w:p w14:paraId="3B18075B" w14:textId="66E18E8B" w:rsidR="009A5581" w:rsidRPr="007F5499" w:rsidRDefault="00F672D7" w:rsidP="00B341E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Administrative work and digitalized communication</w:t>
      </w:r>
    </w:p>
    <w:p w14:paraId="37FDE4D0" w14:textId="01F47045" w:rsidR="00170CE8"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lastRenderedPageBreak/>
        <w:t xml:space="preserve">According to Parker (2020), administrative work “can be operationalized through office design, staff working routines and normalized formal and informal behavioral </w:t>
      </w:r>
      <w:r w:rsidR="00B8584D" w:rsidRPr="007F5499">
        <w:rPr>
          <w:rFonts w:ascii="Times New Roman" w:eastAsia="Calibri" w:hAnsi="Times New Roman" w:cs="Times New Roman"/>
          <w:sz w:val="24"/>
          <w:szCs w:val="24"/>
        </w:rPr>
        <w:t>customs”</w:t>
      </w:r>
      <w:r w:rsidRPr="007F5499">
        <w:rPr>
          <w:rFonts w:ascii="Times New Roman" w:hAnsi="Times New Roman" w:cs="Times New Roman"/>
          <w:sz w:val="24"/>
          <w:szCs w:val="24"/>
        </w:rPr>
        <w:t xml:space="preserve"> (p. 1945). In this study, we focus on changes in staff work routines, especially driven by the need to digitalize, in the </w:t>
      </w:r>
      <w:r w:rsidR="00B8584D" w:rsidRPr="007F5499">
        <w:rPr>
          <w:rFonts w:ascii="Times New Roman" w:eastAsia="Calibri" w:hAnsi="Times New Roman" w:cs="Times New Roman"/>
          <w:sz w:val="24"/>
          <w:szCs w:val="24"/>
        </w:rPr>
        <w:t>COVID</w:t>
      </w:r>
      <w:r w:rsidR="00040F4F" w:rsidRPr="007F5499">
        <w:rPr>
          <w:rFonts w:ascii="Times New Roman" w:hAnsi="Times New Roman" w:cs="Times New Roman"/>
          <w:sz w:val="24"/>
          <w:szCs w:val="24"/>
        </w:rPr>
        <w:t xml:space="preserve">-19 crisis situation. The acceleration of digitalization in office procedures has been initiated by the health care challenges of the </w:t>
      </w:r>
      <w:r w:rsidR="00B8584D" w:rsidRPr="007F5499">
        <w:rPr>
          <w:rFonts w:ascii="Times New Roman" w:eastAsia="Calibri" w:hAnsi="Times New Roman" w:cs="Times New Roman"/>
          <w:sz w:val="24"/>
          <w:szCs w:val="24"/>
        </w:rPr>
        <w:t>COVID</w:t>
      </w:r>
      <w:r w:rsidR="00040F4F" w:rsidRPr="007F5499">
        <w:rPr>
          <w:rFonts w:ascii="Times New Roman" w:hAnsi="Times New Roman" w:cs="Times New Roman"/>
          <w:sz w:val="24"/>
          <w:szCs w:val="24"/>
        </w:rPr>
        <w:t xml:space="preserve">-19 pandemic era: “As so many communities have been required or advised by the government to retreat to their homes and where possible, to work from home, this has brought with it major changes in the world of the </w:t>
      </w:r>
      <w:r w:rsidR="00B8584D" w:rsidRPr="007F5499">
        <w:rPr>
          <w:rFonts w:ascii="Times New Roman" w:eastAsia="Calibri" w:hAnsi="Times New Roman" w:cs="Times New Roman"/>
          <w:sz w:val="24"/>
          <w:szCs w:val="24"/>
        </w:rPr>
        <w:t>office”</w:t>
      </w:r>
      <w:r w:rsidR="00040F4F" w:rsidRPr="007F5499">
        <w:rPr>
          <w:rFonts w:ascii="Times New Roman" w:hAnsi="Times New Roman" w:cs="Times New Roman"/>
          <w:sz w:val="24"/>
          <w:szCs w:val="24"/>
        </w:rPr>
        <w:t xml:space="preserve"> (Parker 2020, p. 1952). More </w:t>
      </w:r>
      <w:r w:rsidR="00B8584D" w:rsidRPr="007F5499">
        <w:rPr>
          <w:rFonts w:ascii="Times New Roman" w:eastAsia="Calibri" w:hAnsi="Times New Roman" w:cs="Times New Roman"/>
          <w:sz w:val="24"/>
          <w:szCs w:val="24"/>
        </w:rPr>
        <w:t>concretely</w:t>
      </w:r>
      <w:r w:rsidR="00040F4F" w:rsidRPr="007F5499">
        <w:rPr>
          <w:rFonts w:ascii="Times New Roman" w:hAnsi="Times New Roman" w:cs="Times New Roman"/>
          <w:sz w:val="24"/>
          <w:szCs w:val="24"/>
        </w:rPr>
        <w:t xml:space="preserve">, work from home and even in the office typically has to be done electronically by public servants, </w:t>
      </w:r>
      <w:r w:rsidR="00B8584D" w:rsidRPr="007F5499">
        <w:rPr>
          <w:rFonts w:ascii="Times New Roman" w:eastAsia="Calibri" w:hAnsi="Times New Roman" w:cs="Times New Roman"/>
          <w:sz w:val="24"/>
          <w:szCs w:val="24"/>
        </w:rPr>
        <w:t xml:space="preserve">and </w:t>
      </w:r>
      <w:r w:rsidR="00040F4F" w:rsidRPr="007F5499">
        <w:rPr>
          <w:rFonts w:ascii="Times New Roman" w:hAnsi="Times New Roman" w:cs="Times New Roman"/>
          <w:sz w:val="24"/>
          <w:szCs w:val="24"/>
        </w:rPr>
        <w:t xml:space="preserve">the need to avoid personal contact with citizens, firm representatives and colleagues implies </w:t>
      </w:r>
      <w:r w:rsidR="00B8584D" w:rsidRPr="007F5499">
        <w:rPr>
          <w:rFonts w:ascii="Times New Roman" w:eastAsia="Calibri" w:hAnsi="Times New Roman" w:cs="Times New Roman"/>
          <w:sz w:val="24"/>
          <w:szCs w:val="24"/>
        </w:rPr>
        <w:t xml:space="preserve">providing </w:t>
      </w:r>
      <w:r w:rsidR="00040F4F" w:rsidRPr="007F5499">
        <w:rPr>
          <w:rFonts w:ascii="Times New Roman" w:hAnsi="Times New Roman" w:cs="Times New Roman"/>
          <w:sz w:val="24"/>
          <w:szCs w:val="24"/>
        </w:rPr>
        <w:t>more services to the “customers” of local administrative authorities digitally.</w:t>
      </w:r>
    </w:p>
    <w:p w14:paraId="33BC94CB" w14:textId="3E4ECB11" w:rsidR="00170CE8" w:rsidRDefault="00F14214" w:rsidP="00170CE8">
      <w:pPr>
        <w:spacing w:line="360" w:lineRule="auto"/>
        <w:jc w:val="both"/>
        <w:rPr>
          <w:rFonts w:ascii="Times New Roman" w:hAnsi="Times New Roman" w:cs="Times New Roman"/>
          <w:sz w:val="24"/>
          <w:szCs w:val="24"/>
        </w:rPr>
      </w:pPr>
      <w:r>
        <w:rPr>
          <w:rFonts w:ascii="Times New Roman" w:hAnsi="Times New Roman" w:cs="Times New Roman"/>
          <w:sz w:val="24"/>
          <w:szCs w:val="24"/>
        </w:rPr>
        <w:t>To provide</w:t>
      </w:r>
      <w:r w:rsidR="002E5C66">
        <w:rPr>
          <w:rFonts w:ascii="Times New Roman" w:hAnsi="Times New Roman" w:cs="Times New Roman"/>
          <w:sz w:val="24"/>
          <w:szCs w:val="24"/>
        </w:rPr>
        <w:t xml:space="preserve"> public services</w:t>
      </w:r>
      <w:r>
        <w:rPr>
          <w:rFonts w:ascii="Times New Roman" w:hAnsi="Times New Roman" w:cs="Times New Roman"/>
          <w:sz w:val="24"/>
          <w:szCs w:val="24"/>
        </w:rPr>
        <w:t>,</w:t>
      </w:r>
      <w:r w:rsidR="002E5C66">
        <w:rPr>
          <w:rFonts w:ascii="Times New Roman" w:hAnsi="Times New Roman" w:cs="Times New Roman"/>
          <w:sz w:val="24"/>
          <w:szCs w:val="24"/>
        </w:rPr>
        <w:t xml:space="preserve"> public servants typically need specific information</w:t>
      </w:r>
      <w:r>
        <w:rPr>
          <w:rFonts w:ascii="Times New Roman" w:hAnsi="Times New Roman" w:cs="Times New Roman"/>
          <w:sz w:val="24"/>
          <w:szCs w:val="24"/>
        </w:rPr>
        <w:t xml:space="preserve"> on</w:t>
      </w:r>
      <w:r w:rsidR="002E5C66">
        <w:rPr>
          <w:rFonts w:ascii="Times New Roman" w:hAnsi="Times New Roman" w:cs="Times New Roman"/>
          <w:sz w:val="24"/>
          <w:szCs w:val="24"/>
        </w:rPr>
        <w:t xml:space="preserve"> the ‘customer’ </w:t>
      </w:r>
      <w:r>
        <w:rPr>
          <w:rFonts w:ascii="Times New Roman" w:hAnsi="Times New Roman" w:cs="Times New Roman"/>
          <w:sz w:val="24"/>
          <w:szCs w:val="24"/>
        </w:rPr>
        <w:t>receiving</w:t>
      </w:r>
      <w:r w:rsidR="002E5C66">
        <w:rPr>
          <w:rFonts w:ascii="Times New Roman" w:hAnsi="Times New Roman" w:cs="Times New Roman"/>
          <w:sz w:val="24"/>
          <w:szCs w:val="24"/>
        </w:rPr>
        <w:t xml:space="preserve"> the service. Information </w:t>
      </w:r>
      <w:r>
        <w:rPr>
          <w:rFonts w:ascii="Times New Roman" w:hAnsi="Times New Roman" w:cs="Times New Roman"/>
          <w:sz w:val="24"/>
          <w:szCs w:val="24"/>
        </w:rPr>
        <w:t>p</w:t>
      </w:r>
      <w:r w:rsidR="002E5C66">
        <w:rPr>
          <w:rFonts w:ascii="Times New Roman" w:hAnsi="Times New Roman" w:cs="Times New Roman"/>
          <w:sz w:val="24"/>
          <w:szCs w:val="24"/>
        </w:rPr>
        <w:t xml:space="preserve">rocessing </w:t>
      </w:r>
      <w:r>
        <w:rPr>
          <w:rFonts w:ascii="Times New Roman" w:hAnsi="Times New Roman" w:cs="Times New Roman"/>
          <w:sz w:val="24"/>
          <w:szCs w:val="24"/>
        </w:rPr>
        <w:t>t</w:t>
      </w:r>
      <w:r w:rsidR="002E5C66">
        <w:rPr>
          <w:rFonts w:ascii="Times New Roman" w:hAnsi="Times New Roman" w:cs="Times New Roman"/>
          <w:sz w:val="24"/>
          <w:szCs w:val="24"/>
        </w:rPr>
        <w:t>heory argues that a “difference in the amount of information required to perform the task and the information already possessed by the organisation” (Galbraith, 1973, p. 5) exists. As a consequence, public administrations have to deploy information-processing activities that best address this information asymmetry (Aben et al. 2021). With reference to Daft and Weick (1984)</w:t>
      </w:r>
      <w:r>
        <w:rPr>
          <w:rFonts w:ascii="Times New Roman" w:hAnsi="Times New Roman" w:cs="Times New Roman"/>
          <w:sz w:val="24"/>
          <w:szCs w:val="24"/>
        </w:rPr>
        <w:t>,</w:t>
      </w:r>
      <w:r w:rsidR="002E5C66">
        <w:rPr>
          <w:rFonts w:ascii="Times New Roman" w:hAnsi="Times New Roman" w:cs="Times New Roman"/>
          <w:sz w:val="24"/>
          <w:szCs w:val="24"/>
        </w:rPr>
        <w:t xml:space="preserve"> Aden et al. (2021) explicitly mention that these information-processing activities include “processing and communicating information” (p. 1149).</w:t>
      </w:r>
    </w:p>
    <w:p w14:paraId="1300AFE0" w14:textId="43AB9177" w:rsidR="004E1884" w:rsidRDefault="00040F4F"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In the Covid-19 crisis, digital communication technologies “enable the connection of governments and people and facilitate governments’ attempts to prepare and implement policy decisions based on up-to-date data and information, which is a condition for efficient management of public funds for the provision of public services to all users” (Hodžić et al. 2021, p. 165; simila</w:t>
      </w:r>
      <w:r w:rsidR="00F14214">
        <w:rPr>
          <w:rFonts w:ascii="Times New Roman" w:hAnsi="Times New Roman" w:cs="Times New Roman"/>
          <w:sz w:val="24"/>
          <w:szCs w:val="24"/>
        </w:rPr>
        <w:t>rly,</w:t>
      </w:r>
      <w:r w:rsidRPr="007F5499">
        <w:rPr>
          <w:rFonts w:ascii="Times New Roman" w:hAnsi="Times New Roman" w:cs="Times New Roman"/>
          <w:sz w:val="24"/>
          <w:szCs w:val="24"/>
        </w:rPr>
        <w:t xml:space="preserve"> Kuhlmann and </w:t>
      </w:r>
      <w:proofErr w:type="spellStart"/>
      <w:r w:rsidRPr="007F5499">
        <w:rPr>
          <w:rFonts w:ascii="Times New Roman" w:hAnsi="Times New Roman" w:cs="Times New Roman"/>
          <w:sz w:val="24"/>
          <w:szCs w:val="24"/>
        </w:rPr>
        <w:t>Heuberger</w:t>
      </w:r>
      <w:proofErr w:type="spellEnd"/>
      <w:r w:rsidRPr="007F5499">
        <w:rPr>
          <w:rFonts w:ascii="Times New Roman" w:hAnsi="Times New Roman" w:cs="Times New Roman"/>
          <w:sz w:val="24"/>
          <w:szCs w:val="24"/>
        </w:rPr>
        <w:t xml:space="preserve"> 2021; Gabryelczyk 2020). Parker (2020) </w:t>
      </w:r>
      <w:r w:rsidR="00F14214">
        <w:rPr>
          <w:rFonts w:ascii="Times New Roman" w:hAnsi="Times New Roman" w:cs="Times New Roman"/>
          <w:sz w:val="24"/>
          <w:szCs w:val="24"/>
        </w:rPr>
        <w:t>observes</w:t>
      </w:r>
      <w:r w:rsidRPr="007F5499">
        <w:rPr>
          <w:rFonts w:ascii="Times New Roman" w:hAnsi="Times New Roman" w:cs="Times New Roman"/>
          <w:sz w:val="24"/>
          <w:szCs w:val="24"/>
        </w:rPr>
        <w:t xml:space="preserve"> that teleworking improved the efficiency and effectiveness </w:t>
      </w:r>
      <w:r w:rsidR="000B06B1">
        <w:rPr>
          <w:rFonts w:ascii="Times New Roman" w:eastAsia="Calibri" w:hAnsi="Times New Roman" w:cs="Times New Roman"/>
          <w:sz w:val="24"/>
          <w:szCs w:val="24"/>
        </w:rPr>
        <w:t>of public service provision</w:t>
      </w:r>
      <w:r w:rsidRPr="007F5499">
        <w:rPr>
          <w:rFonts w:ascii="Times New Roman" w:hAnsi="Times New Roman" w:cs="Times New Roman"/>
          <w:sz w:val="24"/>
          <w:szCs w:val="24"/>
        </w:rPr>
        <w:t xml:space="preserve"> during the </w:t>
      </w:r>
      <w:r w:rsidR="00B8584D" w:rsidRPr="007F5499">
        <w:rPr>
          <w:rFonts w:ascii="Times New Roman" w:eastAsia="Calibri" w:hAnsi="Times New Roman" w:cs="Times New Roman"/>
          <w:sz w:val="24"/>
          <w:szCs w:val="24"/>
        </w:rPr>
        <w:t>COVID</w:t>
      </w:r>
      <w:r w:rsidR="007F7B44" w:rsidRPr="007F5499">
        <w:rPr>
          <w:rFonts w:ascii="Times New Roman" w:hAnsi="Times New Roman" w:cs="Times New Roman"/>
          <w:sz w:val="24"/>
          <w:szCs w:val="24"/>
        </w:rPr>
        <w:t>-19 pandemic. Similar</w:t>
      </w:r>
      <w:r w:rsidR="00932EF4">
        <w:rPr>
          <w:rFonts w:ascii="Times New Roman" w:hAnsi="Times New Roman" w:cs="Times New Roman"/>
          <w:sz w:val="24"/>
          <w:szCs w:val="24"/>
        </w:rPr>
        <w:t>ly</w:t>
      </w:r>
      <w:r w:rsidR="007F7B44" w:rsidRPr="007F5499">
        <w:rPr>
          <w:rFonts w:ascii="Times New Roman" w:hAnsi="Times New Roman" w:cs="Times New Roman"/>
          <w:sz w:val="24"/>
          <w:szCs w:val="24"/>
        </w:rPr>
        <w:t>, Nam (2019) claims that effectiveness and efficiency are, among others, important attributes of government performance.</w:t>
      </w:r>
    </w:p>
    <w:p w14:paraId="3B35FBEB" w14:textId="4DC5BBF0" w:rsidR="00446F56"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Accordingly, a local administration should ensure that the public services offered are available for citizens and other stakeholders (community) and meet their quality expectations (Grossi and Reichard 2008; Anderson and Young 1999). As a consequence, we focus on quality aspects of governance performance and use government effectiveness, defined as “perceptions of the quality of public services” (Kaufmann et al., 2010, p. 4), as the main performance driver of local administrative authorities in Central European countries.</w:t>
      </w:r>
    </w:p>
    <w:p w14:paraId="39D35715" w14:textId="4CAE2C3D" w:rsidR="00B52D26"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lastRenderedPageBreak/>
        <w:t>Previous studies found positive effects of the use of communication technology by governmental institutions on government effectiveness (Nam 2019; Janssen and Estevez, 2013; Hackney et al. 2007; Moon and Norris, 2005; Norris &amp; Moon, 2005; Eyob, 2004).</w:t>
      </w:r>
    </w:p>
    <w:p w14:paraId="210E350C" w14:textId="6441CE66" w:rsidR="004E4175" w:rsidRPr="007F5499" w:rsidRDefault="00E93767"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Huber (1990) already proposed that the use of computer-assisted communication technologies “leads to higher quality decisions” (p. 66). In line with Parker (2020)</w:t>
      </w:r>
      <w:r w:rsidR="00932EF4">
        <w:rPr>
          <w:rFonts w:ascii="Times New Roman" w:hAnsi="Times New Roman" w:cs="Times New Roman"/>
          <w:sz w:val="24"/>
          <w:szCs w:val="24"/>
        </w:rPr>
        <w:t>,</w:t>
      </w:r>
      <w:r w:rsidRPr="007F5499">
        <w:rPr>
          <w:rFonts w:ascii="Times New Roman" w:hAnsi="Times New Roman" w:cs="Times New Roman"/>
          <w:sz w:val="24"/>
          <w:szCs w:val="24"/>
        </w:rPr>
        <w:t xml:space="preserve"> we assume that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driven advances in digitalization enhance the quality of public services provided by local administrative authorities. Therefore, we formulate the following hypothesis:</w:t>
      </w:r>
    </w:p>
    <w:p w14:paraId="3915DC8F" w14:textId="4B97FB4B" w:rsidR="00E93767" w:rsidRPr="007F5499" w:rsidRDefault="00066F6D" w:rsidP="006656B2">
      <w:pPr>
        <w:spacing w:line="240" w:lineRule="auto"/>
        <w:ind w:left="708"/>
        <w:jc w:val="both"/>
        <w:rPr>
          <w:rFonts w:ascii="Times New Roman" w:hAnsi="Times New Roman" w:cs="Times New Roman"/>
          <w:i/>
          <w:sz w:val="24"/>
          <w:szCs w:val="24"/>
        </w:rPr>
      </w:pPr>
      <w:r w:rsidRPr="007F5499">
        <w:rPr>
          <w:rFonts w:ascii="Times New Roman" w:hAnsi="Times New Roman" w:cs="Times New Roman"/>
          <w:i/>
          <w:sz w:val="24"/>
          <w:szCs w:val="24"/>
        </w:rPr>
        <w:t xml:space="preserve">H1: The </w:t>
      </w:r>
      <w:r w:rsidR="00B8584D" w:rsidRPr="007F5499">
        <w:rPr>
          <w:rFonts w:ascii="Times New Roman" w:eastAsia="Calibri" w:hAnsi="Times New Roman" w:cs="Times New Roman"/>
          <w:i/>
          <w:sz w:val="24"/>
          <w:szCs w:val="24"/>
        </w:rPr>
        <w:t>COVID</w:t>
      </w:r>
      <w:r w:rsidRPr="007F5499">
        <w:rPr>
          <w:rFonts w:ascii="Times New Roman" w:hAnsi="Times New Roman" w:cs="Times New Roman"/>
          <w:i/>
          <w:sz w:val="24"/>
          <w:szCs w:val="24"/>
        </w:rPr>
        <w:t>-19-accelerated use of digitalized communication tools by local administrative authorities has a positive impact on the effectiveness of these institutions.</w:t>
      </w:r>
    </w:p>
    <w:p w14:paraId="16BB3391" w14:textId="77777777" w:rsidR="00EC4F06" w:rsidRPr="007F5499" w:rsidRDefault="00EC4F06" w:rsidP="006656B2">
      <w:pPr>
        <w:spacing w:line="240" w:lineRule="auto"/>
        <w:ind w:left="708"/>
        <w:jc w:val="both"/>
        <w:rPr>
          <w:rFonts w:ascii="Times New Roman" w:hAnsi="Times New Roman" w:cs="Times New Roman"/>
          <w:i/>
          <w:sz w:val="24"/>
          <w:szCs w:val="24"/>
        </w:rPr>
      </w:pPr>
    </w:p>
    <w:p w14:paraId="26B5FE72" w14:textId="77777777" w:rsidR="008854FD" w:rsidRPr="007F5499" w:rsidRDefault="00066F6D" w:rsidP="006656B2">
      <w:pPr>
        <w:pStyle w:val="Listenabsatz"/>
        <w:numPr>
          <w:ilvl w:val="1"/>
          <w:numId w:val="7"/>
        </w:numPr>
        <w:spacing w:line="240" w:lineRule="auto"/>
        <w:jc w:val="both"/>
        <w:rPr>
          <w:rFonts w:ascii="Times New Roman" w:hAnsi="Times New Roman" w:cs="Times New Roman"/>
          <w:b/>
          <w:sz w:val="24"/>
          <w:szCs w:val="24"/>
        </w:rPr>
      </w:pPr>
      <w:r w:rsidRPr="007F5499">
        <w:rPr>
          <w:rFonts w:ascii="Times New Roman" w:hAnsi="Times New Roman" w:cs="Times New Roman"/>
          <w:b/>
          <w:sz w:val="24"/>
          <w:szCs w:val="24"/>
        </w:rPr>
        <w:t>Institutional pressure on administrative work and good governance</w:t>
      </w:r>
    </w:p>
    <w:p w14:paraId="2EEF1ACE" w14:textId="465691F4" w:rsidR="009528A9"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Neo-institutional theory assumes that structural constraints shape actors’ </w:t>
      </w:r>
      <w:r w:rsidRPr="007F5499">
        <w:rPr>
          <w:rFonts w:ascii="Times New Roman" w:eastAsia="Calibri" w:hAnsi="Times New Roman" w:cs="Times New Roman"/>
          <w:sz w:val="24"/>
          <w:szCs w:val="24"/>
        </w:rPr>
        <w:t>behaviour</w:t>
      </w:r>
      <w:r w:rsidRPr="007F5499">
        <w:rPr>
          <w:rFonts w:ascii="Times New Roman" w:hAnsi="Times New Roman" w:cs="Times New Roman"/>
          <w:sz w:val="24"/>
          <w:szCs w:val="24"/>
        </w:rPr>
        <w:t xml:space="preserve"> and that actors respond to isomorphic pressures from their institutional environments and adopt structures, practices, and routines that have high social value (Nitzl et al. 2020; Hiebl 2018). </w:t>
      </w:r>
      <w:r w:rsidRPr="007F5499">
        <w:rPr>
          <w:rFonts w:ascii="Times New Roman" w:eastAsia="Calibri" w:hAnsi="Times New Roman" w:cs="Times New Roman"/>
          <w:sz w:val="24"/>
          <w:szCs w:val="24"/>
        </w:rPr>
        <w:t>Therefore</w:t>
      </w:r>
      <w:r w:rsidRPr="007F5499">
        <w:rPr>
          <w:rFonts w:ascii="Times New Roman" w:hAnsi="Times New Roman" w:cs="Times New Roman"/>
          <w:sz w:val="24"/>
          <w:szCs w:val="24"/>
        </w:rPr>
        <w:t xml:space="preserve">, organizations provide answers to external changes in expectations and formal rules </w:t>
      </w:r>
      <w:r w:rsidRPr="007F5499">
        <w:rPr>
          <w:rFonts w:ascii="Times New Roman" w:hAnsi="Times New Roman" w:cs="Times New Roman"/>
          <w:sz w:val="24"/>
          <w:szCs w:val="24"/>
        </w:rPr>
        <w:fldChar w:fldCharType="begin"/>
      </w:r>
      <w:r w:rsidRPr="007F5499">
        <w:rPr>
          <w:rFonts w:ascii="Times New Roman" w:hAnsi="Times New Roman" w:cs="Times New Roman"/>
          <w:sz w:val="24"/>
          <w:szCs w:val="24"/>
        </w:rPr>
        <w:instrText xml:space="preserve"> ADDIN EN.CITE &lt;EndNote&gt;&lt;Cite&gt;&lt;Author&gt;DiMaggio&lt;/Author&gt;&lt;Year&gt;1983&lt;/Year&gt;&lt;RecNum&gt;1827&lt;/RecNum&gt;&lt;DisplayText&gt;(DiMaggio and Powell 1983; Oliver 1991)&lt;/DisplayText&gt;&lt;record&gt;&lt;rec-number&gt;1827&lt;/rec-number&gt;&lt;foreign-keys&gt;&lt;key app="EN" db-id="fr5tvw223e99dreedpvv2d015ewz0xsrw2rw" timestamp="0"&gt;1827&lt;/key&gt;&lt;/foreign-keys&gt;&lt;ref-type name="Journal Article"&gt;17&lt;/ref-type&gt;&lt;contributors&gt;&lt;authors&gt;&lt;author&gt;DiMaggio, Paul&lt;/author&gt;&lt;author&gt;Powell, Walter W&lt;/author&gt;&lt;/authors&gt;&lt;/contributors&gt;&lt;titles&gt;&lt;title&gt;The iron cage revisited: Collective rationality and institutional isomorphism in organizational fields&lt;/title&gt;&lt;secondary-title&gt;American Sociological Review&lt;/secondary-title&gt;&lt;/titles&gt;&lt;pages&gt;147-160&lt;/pages&gt;&lt;volume&gt;48&lt;/volume&gt;&lt;number&gt;2&lt;/number&gt;&lt;dates&gt;&lt;year&gt;1983&lt;/year&gt;&lt;/dates&gt;&lt;urls&gt;&lt;/urls&gt;&lt;/record&gt;&lt;/Cite&gt;&lt;Cite&gt;&lt;Author&gt;Oliver&lt;/Author&gt;&lt;Year&gt;1991&lt;/Year&gt;&lt;RecNum&gt;1834&lt;/RecNum&gt;&lt;record&gt;&lt;rec-number&gt;1834&lt;/rec-number&gt;&lt;foreign-keys&gt;&lt;key app="EN" db-id="fr5tvw223e99dreedpvv2d015ewz0xsrw2rw" timestamp="0"&gt;1834&lt;/key&gt;&lt;/foreign-keys&gt;&lt;ref-type name="Journal Article"&gt;17&lt;/ref-type&gt;&lt;contributors&gt;&lt;authors&gt;&lt;author&gt;Oliver, Christine&lt;/author&gt;&lt;/authors&gt;&lt;/contributors&gt;&lt;titles&gt;&lt;title&gt;Strategic responses to institutional processes&lt;/title&gt;&lt;secondary-title&gt;Academy of Management Review&lt;/secondary-title&gt;&lt;/titles&gt;&lt;pages&gt;145-179&lt;/pages&gt;&lt;volume&gt;16&lt;/volume&gt;&lt;number&gt;1&lt;/number&gt;&lt;dates&gt;&lt;year&gt;1991&lt;/year&gt;&lt;/dates&gt;&lt;isbn&gt;0363-7425&lt;/isbn&gt;&lt;urls&gt;&lt;/urls&gt;&lt;/record&gt;&lt;/Cite&gt;&lt;/EndNote&gt;</w:instrText>
      </w:r>
      <w:r w:rsidRPr="007F5499">
        <w:rPr>
          <w:rFonts w:ascii="Times New Roman" w:hAnsi="Times New Roman" w:cs="Times New Roman"/>
          <w:sz w:val="24"/>
          <w:szCs w:val="24"/>
        </w:rPr>
        <w:fldChar w:fldCharType="separate"/>
      </w:r>
      <w:r w:rsidRPr="007F5499">
        <w:rPr>
          <w:rFonts w:ascii="Times New Roman" w:hAnsi="Times New Roman" w:cs="Times New Roman"/>
          <w:sz w:val="24"/>
          <w:szCs w:val="24"/>
        </w:rPr>
        <w:t>(DiMaggio and Powell 1983; Oliver 1991)</w:t>
      </w:r>
      <w:r w:rsidRPr="007F5499">
        <w:rPr>
          <w:rFonts w:ascii="Times New Roman" w:hAnsi="Times New Roman" w:cs="Times New Roman"/>
          <w:sz w:val="24"/>
          <w:szCs w:val="24"/>
        </w:rPr>
        <w:fldChar w:fldCharType="end"/>
      </w:r>
      <w:r w:rsidRPr="007F5499">
        <w:rPr>
          <w:rFonts w:ascii="Times New Roman" w:hAnsi="Times New Roman" w:cs="Times New Roman"/>
          <w:sz w:val="24"/>
          <w:szCs w:val="24"/>
        </w:rPr>
        <w:t>.</w:t>
      </w:r>
    </w:p>
    <w:p w14:paraId="25E41DF0" w14:textId="75756839" w:rsidR="00424ECF"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In many European countries, clear principles about good governance exist (e.g., Aristovnik et al. 2018; Berg-Schlosser 2006; Berg-Schlosser 2004). Based on neo-institutional theory, we argue that such principles of good governance are still valid in a crisis situation, such as the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w:t>
      </w:r>
      <w:r w:rsidR="00B8584D" w:rsidRPr="007F5499">
        <w:rPr>
          <w:rFonts w:ascii="Times New Roman" w:eastAsia="Calibri" w:hAnsi="Times New Roman" w:cs="Times New Roman"/>
          <w:sz w:val="24"/>
          <w:szCs w:val="24"/>
        </w:rPr>
        <w:t xml:space="preserve"> </w:t>
      </w:r>
      <w:r w:rsidRPr="007F5499">
        <w:rPr>
          <w:rFonts w:ascii="Times New Roman" w:hAnsi="Times New Roman" w:cs="Times New Roman"/>
          <w:sz w:val="24"/>
          <w:szCs w:val="24"/>
        </w:rPr>
        <w:t xml:space="preserve">pandemic, and still influence the </w:t>
      </w:r>
      <w:r w:rsidR="00B8584D" w:rsidRPr="007F5499">
        <w:rPr>
          <w:rFonts w:ascii="Times New Roman" w:eastAsia="Calibri" w:hAnsi="Times New Roman" w:cs="Times New Roman"/>
          <w:sz w:val="24"/>
          <w:szCs w:val="24"/>
        </w:rPr>
        <w:t>behaviour</w:t>
      </w:r>
      <w:r w:rsidRPr="007F5499">
        <w:rPr>
          <w:rFonts w:ascii="Times New Roman" w:hAnsi="Times New Roman" w:cs="Times New Roman"/>
          <w:sz w:val="24"/>
          <w:szCs w:val="24"/>
        </w:rPr>
        <w:t xml:space="preserve"> of public servants in local administrations. Kovač et al. (2016) distinguish eight principles under good governance: rule of law (lawfulness), participation, consensus orientation, equity and inclusiveness, transparency, responsiveness, accountability, efficiency and effectiveness. The authors argue that all eight principles “should be applied together to make a complete whole” (p. 135). Nevertheless, the authors also </w:t>
      </w:r>
      <w:r w:rsidR="00B8584D" w:rsidRPr="007F5499">
        <w:rPr>
          <w:rFonts w:ascii="Times New Roman" w:eastAsia="Calibri" w:hAnsi="Times New Roman" w:cs="Times New Roman"/>
          <w:sz w:val="24"/>
          <w:szCs w:val="24"/>
        </w:rPr>
        <w:t xml:space="preserve">emphasize </w:t>
      </w:r>
      <w:r w:rsidRPr="007F5499">
        <w:rPr>
          <w:rFonts w:ascii="Times New Roman" w:hAnsi="Times New Roman" w:cs="Times New Roman"/>
          <w:sz w:val="24"/>
          <w:szCs w:val="24"/>
        </w:rPr>
        <w:t xml:space="preserve">that there exists a predominance of rule of law as </w:t>
      </w:r>
      <w:r w:rsidR="00B8584D" w:rsidRPr="007F5499">
        <w:rPr>
          <w:rFonts w:ascii="Times New Roman" w:eastAsia="Calibri" w:hAnsi="Times New Roman" w:cs="Times New Roman"/>
          <w:sz w:val="24"/>
          <w:szCs w:val="24"/>
        </w:rPr>
        <w:t xml:space="preserve">the </w:t>
      </w:r>
      <w:r w:rsidRPr="007F5499">
        <w:rPr>
          <w:rFonts w:ascii="Times New Roman" w:hAnsi="Times New Roman" w:cs="Times New Roman"/>
          <w:sz w:val="24"/>
          <w:szCs w:val="24"/>
        </w:rPr>
        <w:t>basis of the other principles, including participation and the effectiveness of authorities.</w:t>
      </w:r>
    </w:p>
    <w:p w14:paraId="3B5D5681" w14:textId="22FCCBD3" w:rsidR="00087C24"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Good administration is seen as an element of good governance. It can be realized when “it strives – within good governance – for an efficient implementation of public policies and public interest” (Kovač et al. 2016, p. 136). Because most </w:t>
      </w:r>
      <w:r w:rsidR="00B8584D" w:rsidRPr="007F5499">
        <w:rPr>
          <w:rFonts w:ascii="Times New Roman" w:eastAsia="Calibri" w:hAnsi="Times New Roman" w:cs="Times New Roman"/>
          <w:sz w:val="24"/>
          <w:szCs w:val="24"/>
        </w:rPr>
        <w:t>elements</w:t>
      </w:r>
      <w:r w:rsidRPr="007F5499">
        <w:rPr>
          <w:rFonts w:ascii="Times New Roman" w:hAnsi="Times New Roman" w:cs="Times New Roman"/>
          <w:sz w:val="24"/>
          <w:szCs w:val="24"/>
        </w:rPr>
        <w:t xml:space="preserve"> of good administration correspond to principles of good governance (Kovač et al. 2016), we can assume that good administration, in our context the efficient service provision of local administrations, is better achieved when principles of good government are respected in these administrations.</w:t>
      </w:r>
    </w:p>
    <w:p w14:paraId="06CC764C" w14:textId="74D3817D" w:rsidR="00D34AE7" w:rsidRPr="007F5499" w:rsidRDefault="00B8584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lastRenderedPageBreak/>
        <w:t xml:space="preserve">Regardless of whether these long-lasting principles of good governance are in evidence, in the </w:t>
      </w:r>
      <w:r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 situation</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local administrations have been confronted with many new laws, guidelines and instructions, mainly issued from administrative bodies </w:t>
      </w:r>
      <w:r w:rsidRPr="007F5499">
        <w:rPr>
          <w:rFonts w:ascii="Times New Roman" w:eastAsia="Calibri" w:hAnsi="Times New Roman" w:cs="Times New Roman"/>
          <w:sz w:val="24"/>
          <w:szCs w:val="24"/>
        </w:rPr>
        <w:t>at</w:t>
      </w:r>
      <w:r w:rsidRPr="007F5499">
        <w:rPr>
          <w:rFonts w:ascii="Times New Roman" w:hAnsi="Times New Roman" w:cs="Times New Roman"/>
          <w:sz w:val="24"/>
          <w:szCs w:val="24"/>
        </w:rPr>
        <w:t xml:space="preserve"> the federal and national </w:t>
      </w:r>
      <w:r w:rsidRPr="007F5499">
        <w:rPr>
          <w:rFonts w:ascii="Times New Roman" w:eastAsia="Calibri" w:hAnsi="Times New Roman" w:cs="Times New Roman"/>
          <w:sz w:val="24"/>
          <w:szCs w:val="24"/>
        </w:rPr>
        <w:t>levels. For example</w:t>
      </w:r>
      <w:r w:rsidRPr="007F5499">
        <w:rPr>
          <w:rFonts w:ascii="Times New Roman" w:hAnsi="Times New Roman" w:cs="Times New Roman"/>
          <w:sz w:val="24"/>
          <w:szCs w:val="24"/>
        </w:rPr>
        <w:t>, in March 2020</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the Czech government declared a state of emergency and introduced a </w:t>
      </w:r>
      <w:r w:rsidRPr="007F5499">
        <w:rPr>
          <w:rFonts w:ascii="Times New Roman" w:eastAsia="Calibri" w:hAnsi="Times New Roman" w:cs="Times New Roman"/>
          <w:sz w:val="24"/>
          <w:szCs w:val="24"/>
        </w:rPr>
        <w:t>lockdown</w:t>
      </w:r>
      <w:r w:rsidRPr="007F5499">
        <w:rPr>
          <w:rFonts w:ascii="Times New Roman" w:hAnsi="Times New Roman" w:cs="Times New Roman"/>
          <w:sz w:val="24"/>
          <w:szCs w:val="24"/>
        </w:rPr>
        <w:t xml:space="preserve"> (Bohata 2020). In many European states, state governments “made tough decisions that restricted citizens’ freedoms in order to stop the spread of the virus” (Bouckaert et al. 2020, p. 768). New legislations were established to protect citizens better and to ensure public health. </w:t>
      </w:r>
      <w:r w:rsidRPr="007F5499">
        <w:rPr>
          <w:rFonts w:ascii="Times New Roman" w:eastAsia="Calibri" w:hAnsi="Times New Roman" w:cs="Times New Roman"/>
          <w:sz w:val="24"/>
          <w:szCs w:val="24"/>
        </w:rPr>
        <w:t>For example,</w:t>
      </w:r>
      <w:r w:rsidRPr="007F5499">
        <w:rPr>
          <w:rFonts w:ascii="Times New Roman" w:hAnsi="Times New Roman" w:cs="Times New Roman"/>
          <w:sz w:val="24"/>
          <w:szCs w:val="24"/>
        </w:rPr>
        <w:t xml:space="preserve"> Germany passed the Federal Infection Protection + Law (IfSG),</w:t>
      </w:r>
      <w:r w:rsidRPr="007F5499">
        <w:rPr>
          <w:rFonts w:ascii="Times New Roman" w:eastAsia="Calibri" w:hAnsi="Times New Roman" w:cs="Times New Roman"/>
          <w:sz w:val="24"/>
          <w:szCs w:val="24"/>
        </w:rPr>
        <w:t xml:space="preserve"> and</w:t>
      </w:r>
      <w:r w:rsidRPr="007F5499">
        <w:rPr>
          <w:rFonts w:ascii="Times New Roman" w:hAnsi="Times New Roman" w:cs="Times New Roman"/>
          <w:sz w:val="24"/>
          <w:szCs w:val="24"/>
        </w:rPr>
        <w:t xml:space="preserve"> states adjusted their legislation addressing regional hospitals and public health institutions. We interpret these new laws and instructions as modified constraints of local authorities (similarly to Kuhlmann and Heuberger 2021) and expect them to influence the behaviour of the local administration’s employees as well.</w:t>
      </w:r>
    </w:p>
    <w:p w14:paraId="6CE2F682" w14:textId="77777777" w:rsidR="00657437"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Based on these arguments</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we formulate the following hypotheses:</w:t>
      </w:r>
    </w:p>
    <w:p w14:paraId="5A17BC35" w14:textId="781A7485" w:rsidR="00083736" w:rsidRPr="007F5499" w:rsidRDefault="00066F6D" w:rsidP="00083736">
      <w:pPr>
        <w:spacing w:line="240" w:lineRule="auto"/>
        <w:ind w:left="708"/>
        <w:jc w:val="both"/>
        <w:rPr>
          <w:rFonts w:ascii="Times New Roman" w:hAnsi="Times New Roman" w:cs="Times New Roman"/>
          <w:i/>
          <w:sz w:val="24"/>
          <w:szCs w:val="24"/>
        </w:rPr>
      </w:pPr>
      <w:r w:rsidRPr="007F5499">
        <w:rPr>
          <w:rFonts w:ascii="Times New Roman" w:hAnsi="Times New Roman" w:cs="Times New Roman"/>
          <w:i/>
          <w:sz w:val="24"/>
          <w:szCs w:val="24"/>
        </w:rPr>
        <w:t xml:space="preserve">H2a: The degree of </w:t>
      </w:r>
      <w:r w:rsidRPr="007F5499">
        <w:rPr>
          <w:rFonts w:ascii="Times New Roman" w:eastAsia="Calibri" w:hAnsi="Times New Roman" w:cs="Times New Roman"/>
          <w:i/>
          <w:sz w:val="24"/>
          <w:szCs w:val="24"/>
        </w:rPr>
        <w:t>COVID</w:t>
      </w:r>
      <w:r w:rsidRPr="007F5499">
        <w:rPr>
          <w:rFonts w:ascii="Times New Roman" w:hAnsi="Times New Roman" w:cs="Times New Roman"/>
          <w:i/>
          <w:sz w:val="24"/>
          <w:szCs w:val="24"/>
        </w:rPr>
        <w:t>-19</w:t>
      </w:r>
      <w:r w:rsidRPr="007F5499">
        <w:rPr>
          <w:rFonts w:ascii="Times New Roman" w:eastAsia="Calibri" w:hAnsi="Times New Roman" w:cs="Times New Roman"/>
          <w:i/>
          <w:sz w:val="24"/>
          <w:szCs w:val="24"/>
        </w:rPr>
        <w:t>-</w:t>
      </w:r>
      <w:r w:rsidR="00D1267A" w:rsidRPr="007F5499">
        <w:rPr>
          <w:rFonts w:ascii="Times New Roman" w:hAnsi="Times New Roman" w:cs="Times New Roman"/>
          <w:i/>
          <w:sz w:val="24"/>
          <w:szCs w:val="24"/>
        </w:rPr>
        <w:t xml:space="preserve">driven new laws and instructions issued </w:t>
      </w:r>
      <w:r w:rsidRPr="007F5499">
        <w:rPr>
          <w:rFonts w:ascii="Times New Roman" w:eastAsia="Calibri" w:hAnsi="Times New Roman" w:cs="Times New Roman"/>
          <w:i/>
          <w:sz w:val="24"/>
          <w:szCs w:val="24"/>
        </w:rPr>
        <w:t>mediates</w:t>
      </w:r>
      <w:r w:rsidRPr="007F5499">
        <w:rPr>
          <w:rFonts w:ascii="Times New Roman" w:hAnsi="Times New Roman" w:cs="Times New Roman"/>
          <w:i/>
          <w:sz w:val="24"/>
          <w:szCs w:val="24"/>
        </w:rPr>
        <w:t xml:space="preserve"> the impact of the </w:t>
      </w:r>
      <w:r w:rsidRPr="007F5499">
        <w:rPr>
          <w:rFonts w:ascii="Times New Roman" w:eastAsia="Calibri" w:hAnsi="Times New Roman" w:cs="Times New Roman"/>
          <w:i/>
          <w:sz w:val="24"/>
          <w:szCs w:val="24"/>
        </w:rPr>
        <w:t>COVID</w:t>
      </w:r>
      <w:r w:rsidRPr="007F5499">
        <w:rPr>
          <w:rFonts w:ascii="Times New Roman" w:hAnsi="Times New Roman" w:cs="Times New Roman"/>
          <w:i/>
          <w:sz w:val="24"/>
          <w:szCs w:val="24"/>
        </w:rPr>
        <w:t xml:space="preserve">-19-accelerated use of digitalized communication tools on the </w:t>
      </w:r>
      <w:r w:rsidRPr="007F5499">
        <w:rPr>
          <w:rFonts w:ascii="Times New Roman" w:eastAsia="Calibri" w:hAnsi="Times New Roman" w:cs="Times New Roman"/>
          <w:i/>
          <w:sz w:val="24"/>
          <w:szCs w:val="24"/>
        </w:rPr>
        <w:t>effectiveness of local administrations</w:t>
      </w:r>
      <w:r w:rsidRPr="007F5499">
        <w:rPr>
          <w:rFonts w:ascii="Times New Roman" w:hAnsi="Times New Roman" w:cs="Times New Roman"/>
          <w:i/>
          <w:sz w:val="24"/>
          <w:szCs w:val="24"/>
        </w:rPr>
        <w:t>.</w:t>
      </w:r>
    </w:p>
    <w:p w14:paraId="5B9C1525" w14:textId="29F51A50" w:rsidR="009528A9" w:rsidRPr="007F5499" w:rsidRDefault="00066F6D" w:rsidP="006656B2">
      <w:pPr>
        <w:spacing w:line="240" w:lineRule="auto"/>
        <w:ind w:left="708"/>
        <w:jc w:val="both"/>
        <w:rPr>
          <w:rFonts w:ascii="Times New Roman" w:hAnsi="Times New Roman" w:cs="Times New Roman"/>
          <w:i/>
          <w:sz w:val="24"/>
          <w:szCs w:val="24"/>
        </w:rPr>
      </w:pPr>
      <w:r w:rsidRPr="007F5499">
        <w:rPr>
          <w:rFonts w:ascii="Times New Roman" w:hAnsi="Times New Roman" w:cs="Times New Roman"/>
          <w:i/>
          <w:sz w:val="24"/>
          <w:szCs w:val="24"/>
        </w:rPr>
        <w:t xml:space="preserve">H2b: An orientation to good governance positively mediates the impact of the </w:t>
      </w:r>
      <w:r w:rsidRPr="007F5499">
        <w:rPr>
          <w:rFonts w:ascii="Times New Roman" w:eastAsia="Calibri" w:hAnsi="Times New Roman" w:cs="Times New Roman"/>
          <w:i/>
          <w:sz w:val="24"/>
          <w:szCs w:val="24"/>
        </w:rPr>
        <w:t>COVID</w:t>
      </w:r>
      <w:r w:rsidRPr="007F5499">
        <w:rPr>
          <w:rFonts w:ascii="Times New Roman" w:hAnsi="Times New Roman" w:cs="Times New Roman"/>
          <w:i/>
          <w:sz w:val="24"/>
          <w:szCs w:val="24"/>
        </w:rPr>
        <w:t>-19-accelerated use of digitalized communication tools on the local administration’s effectiveness.</w:t>
      </w:r>
    </w:p>
    <w:p w14:paraId="0DE408C2" w14:textId="77777777" w:rsidR="00D222EF" w:rsidRPr="007F5499" w:rsidRDefault="00D222EF" w:rsidP="006656B2">
      <w:pPr>
        <w:spacing w:line="240" w:lineRule="auto"/>
        <w:ind w:left="708"/>
        <w:jc w:val="both"/>
        <w:rPr>
          <w:rFonts w:ascii="Times New Roman" w:hAnsi="Times New Roman" w:cs="Times New Roman"/>
          <w:i/>
          <w:sz w:val="24"/>
          <w:szCs w:val="24"/>
        </w:rPr>
      </w:pPr>
    </w:p>
    <w:p w14:paraId="0030A591" w14:textId="63547F2D" w:rsidR="00760047" w:rsidRPr="007F5499" w:rsidRDefault="00B8584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Figure 1 below shows our research model.</w:t>
      </w:r>
    </w:p>
    <w:p w14:paraId="654C49CC" w14:textId="77777777" w:rsidR="00760047" w:rsidRPr="007F5499" w:rsidRDefault="00760047" w:rsidP="006656B2">
      <w:pPr>
        <w:spacing w:line="240" w:lineRule="auto"/>
        <w:ind w:left="708"/>
        <w:jc w:val="both"/>
        <w:rPr>
          <w:rFonts w:ascii="Times New Roman" w:hAnsi="Times New Roman" w:cs="Times New Roman"/>
          <w:i/>
          <w:sz w:val="24"/>
          <w:szCs w:val="24"/>
        </w:rPr>
      </w:pPr>
    </w:p>
    <w:p w14:paraId="3AB7F1B3" w14:textId="77777777" w:rsidR="00D222EF" w:rsidRPr="007F5499" w:rsidRDefault="00066F6D" w:rsidP="00492535">
      <w:pPr>
        <w:spacing w:line="240" w:lineRule="auto"/>
        <w:jc w:val="both"/>
        <w:rPr>
          <w:rFonts w:ascii="Times New Roman" w:hAnsi="Times New Roman" w:cs="Times New Roman"/>
          <w:i/>
          <w:sz w:val="24"/>
          <w:szCs w:val="24"/>
        </w:rPr>
      </w:pPr>
      <w:r w:rsidRPr="007F5499">
        <w:rPr>
          <w:rFonts w:ascii="Times New Roman" w:hAnsi="Times New Roman" w:cs="Times New Roman"/>
          <w:i/>
          <w:sz w:val="24"/>
          <w:szCs w:val="24"/>
        </w:rPr>
        <w:t>Figure 1: Research model</w:t>
      </w:r>
    </w:p>
    <w:p w14:paraId="3DC0390B" w14:textId="77777777" w:rsidR="00492535" w:rsidRPr="007F5499" w:rsidRDefault="00066F6D" w:rsidP="006656B2">
      <w:pPr>
        <w:spacing w:line="240" w:lineRule="auto"/>
        <w:jc w:val="both"/>
        <w:rPr>
          <w:rFonts w:ascii="Times New Roman" w:hAnsi="Times New Roman" w:cs="Times New Roman"/>
          <w:b/>
          <w:sz w:val="24"/>
          <w:szCs w:val="24"/>
        </w:rPr>
      </w:pPr>
      <w:r w:rsidRPr="007F5499">
        <w:rPr>
          <w:noProof/>
        </w:rPr>
        <w:lastRenderedPageBreak/>
        <w:drawing>
          <wp:inline distT="0" distB="0" distL="0" distR="0" wp14:anchorId="74EB4355" wp14:editId="0083174F">
            <wp:extent cx="5429250" cy="3428999"/>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35915" cy="3433209"/>
                    </a:xfrm>
                    <a:prstGeom prst="rect">
                      <a:avLst/>
                    </a:prstGeom>
                    <a:noFill/>
                    <a:ln>
                      <a:noFill/>
                    </a:ln>
                  </pic:spPr>
                </pic:pic>
              </a:graphicData>
            </a:graphic>
          </wp:inline>
        </w:drawing>
      </w:r>
    </w:p>
    <w:p w14:paraId="12592CBF" w14:textId="77777777" w:rsidR="00492535" w:rsidRPr="007F5499" w:rsidRDefault="00492535" w:rsidP="006656B2">
      <w:pPr>
        <w:spacing w:line="240" w:lineRule="auto"/>
        <w:jc w:val="both"/>
        <w:rPr>
          <w:rFonts w:ascii="Times New Roman" w:hAnsi="Times New Roman" w:cs="Times New Roman"/>
          <w:b/>
          <w:sz w:val="24"/>
          <w:szCs w:val="24"/>
        </w:rPr>
      </w:pPr>
    </w:p>
    <w:p w14:paraId="02165563" w14:textId="77777777" w:rsidR="0065222F" w:rsidRPr="007F5499" w:rsidRDefault="0065222F" w:rsidP="006656B2">
      <w:pPr>
        <w:spacing w:line="240" w:lineRule="auto"/>
        <w:jc w:val="both"/>
        <w:rPr>
          <w:rFonts w:ascii="Times New Roman" w:hAnsi="Times New Roman" w:cs="Times New Roman"/>
          <w:b/>
          <w:sz w:val="24"/>
          <w:szCs w:val="24"/>
        </w:rPr>
      </w:pPr>
    </w:p>
    <w:p w14:paraId="2DD65AB5" w14:textId="3B9FBEEF" w:rsidR="006E51B8" w:rsidRPr="007F5499" w:rsidRDefault="00066F6D" w:rsidP="006656B2">
      <w:pPr>
        <w:spacing w:line="240" w:lineRule="auto"/>
        <w:jc w:val="both"/>
        <w:rPr>
          <w:rFonts w:ascii="Times New Roman" w:hAnsi="Times New Roman" w:cs="Times New Roman"/>
          <w:b/>
          <w:sz w:val="24"/>
          <w:szCs w:val="24"/>
        </w:rPr>
      </w:pPr>
      <w:r w:rsidRPr="007F5499">
        <w:rPr>
          <w:rFonts w:ascii="Times New Roman" w:hAnsi="Times New Roman" w:cs="Times New Roman"/>
          <w:b/>
          <w:sz w:val="24"/>
          <w:szCs w:val="24"/>
        </w:rPr>
        <w:t>3 Research design and method choice</w:t>
      </w:r>
    </w:p>
    <w:p w14:paraId="494FC68F" w14:textId="7F455A6B" w:rsidR="00B341EF" w:rsidRPr="007F5499" w:rsidRDefault="00066F6D" w:rsidP="009357C9">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data for this study were collected in an international public administration survey examining the impact of the first wave of the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 xml:space="preserve">-19 pandemic on public administrations. </w:t>
      </w:r>
      <w:r w:rsidR="00475D66">
        <w:rPr>
          <w:rFonts w:ascii="Times New Roman" w:eastAsia="Times New Roman" w:hAnsi="Times New Roman" w:cs="Times New Roman"/>
          <w:sz w:val="24"/>
          <w:szCs w:val="24"/>
          <w:lang w:eastAsia="de-DE"/>
        </w:rPr>
        <w:t xml:space="preserve">The target population was public managers responsible for managing local administrative authorities that provide public services, such as general administrative territorial units on the local level. </w:t>
      </w:r>
      <w:r w:rsidR="009357C9">
        <w:rPr>
          <w:rFonts w:ascii="Times New Roman" w:hAnsi="Times New Roman" w:cs="Times New Roman"/>
          <w:sz w:val="24"/>
          <w:szCs w:val="24"/>
        </w:rPr>
        <w:t>This survey was disseminated across participating countries. This analysis focuses on the Czech Republic, Germany, Poland, Slovenia and Romania. All</w:t>
      </w:r>
      <w:r w:rsidR="00932EF4">
        <w:rPr>
          <w:rFonts w:ascii="Times New Roman" w:hAnsi="Times New Roman" w:cs="Times New Roman"/>
          <w:sz w:val="24"/>
          <w:szCs w:val="24"/>
        </w:rPr>
        <w:t xml:space="preserve"> of</w:t>
      </w:r>
      <w:r w:rsidR="009357C9">
        <w:rPr>
          <w:rFonts w:ascii="Times New Roman" w:hAnsi="Times New Roman" w:cs="Times New Roman"/>
          <w:sz w:val="24"/>
          <w:szCs w:val="24"/>
        </w:rPr>
        <w:t xml:space="preserve"> these </w:t>
      </w:r>
      <w:r w:rsidR="00DA1D94" w:rsidRPr="00DA1D94">
        <w:rPr>
          <w:rFonts w:ascii="Times New Roman" w:eastAsia="Times New Roman" w:hAnsi="Times New Roman" w:cs="Times New Roman"/>
          <w:sz w:val="24"/>
          <w:szCs w:val="24"/>
          <w:lang w:eastAsia="de-DE"/>
        </w:rPr>
        <w:t xml:space="preserve">countries are member states of the European Union and share strong (Germanic) administrative traditions. </w:t>
      </w:r>
      <w:r w:rsidR="00932EF4">
        <w:rPr>
          <w:rFonts w:ascii="Times New Roman" w:eastAsia="Times New Roman" w:hAnsi="Times New Roman" w:cs="Times New Roman"/>
          <w:sz w:val="24"/>
          <w:szCs w:val="24"/>
          <w:lang w:eastAsia="de-DE"/>
        </w:rPr>
        <w:t>Thus, they are</w:t>
      </w:r>
      <w:r w:rsidR="00DA1D94" w:rsidRPr="00DA1D94">
        <w:rPr>
          <w:rFonts w:ascii="Times New Roman" w:eastAsia="Times New Roman" w:hAnsi="Times New Roman" w:cs="Times New Roman"/>
          <w:sz w:val="24"/>
          <w:szCs w:val="24"/>
          <w:lang w:eastAsia="de-DE"/>
        </w:rPr>
        <w:t xml:space="preserve"> a comparable group of countries</w:t>
      </w:r>
      <w:r w:rsidR="00932EF4">
        <w:rPr>
          <w:rFonts w:ascii="Times New Roman" w:eastAsia="Times New Roman" w:hAnsi="Times New Roman" w:cs="Times New Roman"/>
          <w:sz w:val="24"/>
          <w:szCs w:val="24"/>
          <w:lang w:eastAsia="de-DE"/>
        </w:rPr>
        <w:t>. In contrast,</w:t>
      </w:r>
      <w:r w:rsidR="00DA1D94" w:rsidRPr="00DA1D94">
        <w:rPr>
          <w:rFonts w:ascii="Times New Roman" w:eastAsia="Times New Roman" w:hAnsi="Times New Roman" w:cs="Times New Roman"/>
          <w:sz w:val="24"/>
          <w:szCs w:val="24"/>
          <w:lang w:eastAsia="de-DE"/>
        </w:rPr>
        <w:t xml:space="preserve"> other groups of European countries </w:t>
      </w:r>
      <w:r w:rsidR="00932EF4">
        <w:rPr>
          <w:rFonts w:ascii="Times New Roman" w:eastAsia="Times New Roman" w:hAnsi="Times New Roman" w:cs="Times New Roman"/>
          <w:sz w:val="24"/>
          <w:szCs w:val="24"/>
          <w:lang w:eastAsia="de-DE"/>
        </w:rPr>
        <w:t>have</w:t>
      </w:r>
      <w:r w:rsidR="00DA1D94" w:rsidRPr="00DA1D94">
        <w:rPr>
          <w:rFonts w:ascii="Times New Roman" w:eastAsia="Times New Roman" w:hAnsi="Times New Roman" w:cs="Times New Roman"/>
          <w:sz w:val="24"/>
          <w:szCs w:val="24"/>
          <w:lang w:eastAsia="de-DE"/>
        </w:rPr>
        <w:t xml:space="preserve"> completely different administrative traditions, especially Francophone and Scandinavian countries </w:t>
      </w:r>
      <w:r w:rsidR="00B8584D" w:rsidRPr="007F5499">
        <w:rPr>
          <w:rFonts w:ascii="Times New Roman" w:hAnsi="Times New Roman" w:cs="Times New Roman"/>
          <w:sz w:val="24"/>
          <w:szCs w:val="24"/>
        </w:rPr>
        <w:t>(Aristovnik et al. 2021; Bouckaert et al. 2020; Kuhlmann and Wollmann 2019).</w:t>
      </w:r>
      <w:r w:rsidR="00471361" w:rsidRPr="007F5499">
        <w:rPr>
          <w:rStyle w:val="Funotenzeichen"/>
          <w:rFonts w:ascii="Times New Roman" w:eastAsia="Times New Roman" w:hAnsi="Times New Roman" w:cs="Times New Roman"/>
          <w:sz w:val="24"/>
          <w:szCs w:val="24"/>
          <w:lang w:eastAsia="de-DE"/>
        </w:rPr>
        <w:t xml:space="preserve"> </w:t>
      </w:r>
    </w:p>
    <w:p w14:paraId="14814587" w14:textId="22AAC364" w:rsidR="00C21CA2"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online questionnaire was composed of 26 questions, including mainly closed-ended questions grouped </w:t>
      </w:r>
      <w:r w:rsidRPr="007F5499">
        <w:rPr>
          <w:rFonts w:ascii="Times New Roman" w:eastAsia="Calibri" w:hAnsi="Times New Roman" w:cs="Times New Roman"/>
          <w:sz w:val="24"/>
          <w:szCs w:val="24"/>
        </w:rPr>
        <w:t>into</w:t>
      </w:r>
      <w:r w:rsidRPr="007F5499">
        <w:rPr>
          <w:rFonts w:ascii="Times New Roman" w:hAnsi="Times New Roman" w:cs="Times New Roman"/>
          <w:sz w:val="24"/>
          <w:szCs w:val="24"/>
        </w:rPr>
        <w:t xml:space="preserve"> six parts (general, procedures and services, human resource management, economic and financial aspects, time after the pandemic, and demographic data). The questionnaire was translated into the national languages of the selected countries. The web-based survey was launched via the open-source web application 1KA (One Click Survey; www.1ka.si) </w:t>
      </w:r>
      <w:r w:rsidRPr="007F5499">
        <w:rPr>
          <w:rFonts w:ascii="Times New Roman" w:eastAsia="Calibri" w:hAnsi="Times New Roman" w:cs="Times New Roman"/>
          <w:sz w:val="24"/>
          <w:szCs w:val="24"/>
        </w:rPr>
        <w:t>at</w:t>
      </w:r>
      <w:r w:rsidRPr="007F5499">
        <w:rPr>
          <w:rFonts w:ascii="Times New Roman" w:hAnsi="Times New Roman" w:cs="Times New Roman"/>
          <w:sz w:val="24"/>
          <w:szCs w:val="24"/>
        </w:rPr>
        <w:t xml:space="preserve"> the start of June 2020 and remained open until the end of August 2020, that is, </w:t>
      </w:r>
      <w:r w:rsidRPr="007F5499">
        <w:rPr>
          <w:rFonts w:ascii="Times New Roman" w:hAnsi="Times New Roman" w:cs="Times New Roman"/>
          <w:sz w:val="24"/>
          <w:szCs w:val="24"/>
        </w:rPr>
        <w:lastRenderedPageBreak/>
        <w:t>in a period during which most of the nations covered experienced the arduous restrictions imposed by lockdown</w:t>
      </w:r>
      <w:r w:rsidR="00932EF4">
        <w:rPr>
          <w:rFonts w:ascii="Times New Roman" w:hAnsi="Times New Roman" w:cs="Times New Roman"/>
          <w:sz w:val="24"/>
          <w:szCs w:val="24"/>
        </w:rPr>
        <w:t>s</w:t>
      </w:r>
      <w:r w:rsidRPr="007F5499">
        <w:rPr>
          <w:rFonts w:ascii="Times New Roman" w:hAnsi="Times New Roman" w:cs="Times New Roman"/>
          <w:sz w:val="24"/>
          <w:szCs w:val="24"/>
        </w:rPr>
        <w:t>.</w:t>
      </w:r>
    </w:p>
    <w:p w14:paraId="3E54FCE6" w14:textId="22D1D050" w:rsidR="00D87058"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target population was public managers responsible for managing public administration authorities competent for conducting administrative procedures and providing public services as general administrative territorial units at the local level. The sampling technique used is non-probabilistic, convenience sampling facilitated by using information communication systems and channels. Participants were assured that the survey was strictly confidential and anonymous. The total sample consisted of 926 participants or public managers from five European countries (Czech Republic, Germany, Poland, Romania, and Slovenia), yielding a response rate of 51.8%. The response rate was different across countries and varied, with 27.2% in Germany and 28.0% in </w:t>
      </w:r>
      <w:r w:rsidR="00B8584D" w:rsidRPr="007F5499">
        <w:rPr>
          <w:rFonts w:ascii="Times New Roman" w:eastAsia="Calibri" w:hAnsi="Times New Roman" w:cs="Times New Roman"/>
          <w:sz w:val="24"/>
          <w:szCs w:val="24"/>
        </w:rPr>
        <w:t xml:space="preserve">the </w:t>
      </w:r>
      <w:r w:rsidR="008F1DD3">
        <w:rPr>
          <w:rFonts w:ascii="Times New Roman" w:hAnsi="Times New Roman" w:cs="Times New Roman"/>
          <w:sz w:val="24"/>
          <w:szCs w:val="24"/>
        </w:rPr>
        <w:t xml:space="preserve">Czech Republic, 58.2% in Romania and 66.2% in Poland, and even 100.0% in Slovenia. To prevent the </w:t>
      </w:r>
      <w:r w:rsidR="0068607E" w:rsidRPr="007F5499">
        <w:rPr>
          <w:rFonts w:ascii="Times New Roman" w:eastAsia="Calibri" w:hAnsi="Times New Roman" w:cs="Times New Roman"/>
          <w:sz w:val="24"/>
          <w:szCs w:val="24"/>
        </w:rPr>
        <w:t>overvaluation</w:t>
      </w:r>
      <w:r w:rsidRPr="007F5499">
        <w:rPr>
          <w:rFonts w:ascii="Times New Roman" w:hAnsi="Times New Roman" w:cs="Times New Roman"/>
          <w:sz w:val="24"/>
          <w:szCs w:val="24"/>
        </w:rPr>
        <w:t xml:space="preserve"> of counties with higher </w:t>
      </w:r>
      <w:r w:rsidR="00B8584D" w:rsidRPr="007F5499">
        <w:rPr>
          <w:rFonts w:ascii="Times New Roman" w:eastAsia="Calibri" w:hAnsi="Times New Roman" w:cs="Times New Roman"/>
          <w:sz w:val="24"/>
          <w:szCs w:val="24"/>
        </w:rPr>
        <w:t>response</w:t>
      </w:r>
      <w:r w:rsidRPr="007F5499">
        <w:rPr>
          <w:rFonts w:ascii="Times New Roman" w:hAnsi="Times New Roman" w:cs="Times New Roman"/>
          <w:sz w:val="24"/>
          <w:szCs w:val="24"/>
        </w:rPr>
        <w:t xml:space="preserve"> rates</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we used the country as a control variable. Considering the high hierarchical position of public managers, the response rates can be considered </w:t>
      </w:r>
      <w:r w:rsidR="00B8584D" w:rsidRPr="007F5499">
        <w:rPr>
          <w:rFonts w:ascii="Times New Roman" w:eastAsia="Calibri" w:hAnsi="Times New Roman" w:cs="Times New Roman"/>
          <w:sz w:val="24"/>
          <w:szCs w:val="24"/>
        </w:rPr>
        <w:t xml:space="preserve">good </w:t>
      </w:r>
      <w:r w:rsidRPr="007F5499">
        <w:rPr>
          <w:rFonts w:ascii="Times New Roman" w:hAnsi="Times New Roman" w:cs="Times New Roman"/>
          <w:sz w:val="24"/>
          <w:szCs w:val="24"/>
        </w:rPr>
        <w:t>(Hiebl and Richter 2018). To minimize potential bias, surveys with more than ten missing values or repeated answers were excluded, resulting in a final sample of 610 participants. In Table 1, we show more descriptive information about our sample.</w:t>
      </w:r>
    </w:p>
    <w:p w14:paraId="5D76C783" w14:textId="77777777" w:rsidR="00693E8E" w:rsidRPr="007F5499" w:rsidRDefault="00693E8E" w:rsidP="00CF2430">
      <w:pPr>
        <w:spacing w:line="240" w:lineRule="auto"/>
        <w:jc w:val="both"/>
        <w:rPr>
          <w:rFonts w:ascii="Times New Roman" w:hAnsi="Times New Roman" w:cs="Times New Roman"/>
          <w:i/>
          <w:sz w:val="24"/>
          <w:szCs w:val="24"/>
        </w:rPr>
      </w:pPr>
    </w:p>
    <w:p w14:paraId="30D0E321" w14:textId="72312598" w:rsidR="005F7525" w:rsidRPr="007F5499" w:rsidRDefault="00066F6D" w:rsidP="00CF2430">
      <w:pPr>
        <w:spacing w:line="240" w:lineRule="auto"/>
        <w:jc w:val="both"/>
        <w:rPr>
          <w:rFonts w:ascii="Times New Roman" w:eastAsia="Times New Roman" w:hAnsi="Times New Roman" w:cs="Times New Roman"/>
          <w:i/>
          <w:sz w:val="24"/>
          <w:szCs w:val="24"/>
          <w:lang w:eastAsia="sl-SI"/>
        </w:rPr>
      </w:pPr>
      <w:r w:rsidRPr="007F5499">
        <w:rPr>
          <w:rFonts w:ascii="Times New Roman" w:hAnsi="Times New Roman" w:cs="Times New Roman"/>
          <w:i/>
          <w:sz w:val="24"/>
          <w:szCs w:val="24"/>
        </w:rPr>
        <w:t xml:space="preserve">Table 1: </w:t>
      </w:r>
      <w:r w:rsidRPr="007F5499">
        <w:rPr>
          <w:rFonts w:ascii="Times New Roman" w:eastAsia="Calibri" w:hAnsi="Times New Roman" w:cs="Times New Roman"/>
          <w:i/>
          <w:sz w:val="24"/>
          <w:szCs w:val="24"/>
        </w:rPr>
        <w:t>Sociodemographic</w:t>
      </w:r>
      <w:r w:rsidRPr="007F5499">
        <w:rPr>
          <w:rFonts w:ascii="Times New Roman" w:hAnsi="Times New Roman" w:cs="Times New Roman"/>
          <w:i/>
          <w:sz w:val="24"/>
          <w:szCs w:val="24"/>
        </w:rPr>
        <w:t xml:space="preserve"> and geographic characteristics of the survey respondents</w:t>
      </w:r>
    </w:p>
    <w:tbl>
      <w:tblPr>
        <w:tblW w:w="9067" w:type="dxa"/>
        <w:tblCellMar>
          <w:top w:w="15" w:type="dxa"/>
          <w:left w:w="15" w:type="dxa"/>
          <w:bottom w:w="15" w:type="dxa"/>
          <w:right w:w="15" w:type="dxa"/>
        </w:tblCellMar>
        <w:tblLook w:val="04A0" w:firstRow="1" w:lastRow="0" w:firstColumn="1" w:lastColumn="0" w:noHBand="0" w:noVBand="1"/>
      </w:tblPr>
      <w:tblGrid>
        <w:gridCol w:w="6172"/>
        <w:gridCol w:w="2895"/>
      </w:tblGrid>
      <w:tr w:rsidR="00946E2E" w14:paraId="091D0969"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A62A1A" w14:textId="72CC9A0A" w:rsidR="005F7525" w:rsidRPr="007F5499" w:rsidRDefault="00066F6D" w:rsidP="005F7525">
            <w:pPr>
              <w:spacing w:after="0" w:line="240" w:lineRule="auto"/>
              <w:jc w:val="center"/>
              <w:rPr>
                <w:rFonts w:ascii="Times New Roman" w:eastAsia="Times New Roman" w:hAnsi="Times New Roman" w:cs="Times New Roman"/>
                <w:lang w:eastAsia="sl-SI"/>
              </w:rPr>
            </w:pPr>
            <w:r w:rsidRPr="007F5499">
              <w:rPr>
                <w:rFonts w:ascii="Times New Roman" w:eastAsia="Times New Roman" w:hAnsi="Times New Roman" w:cs="Times New Roman"/>
                <w:b/>
                <w:bCs/>
                <w:color w:val="000000"/>
                <w:lang w:eastAsia="sl-SI"/>
              </w:rPr>
              <w:t>Socio-demographic and geographic characteristics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A9FB5D" w14:textId="77777777" w:rsidR="005F7525" w:rsidRPr="007F5499" w:rsidRDefault="00066F6D" w:rsidP="005F7525">
            <w:pPr>
              <w:spacing w:after="0" w:line="240" w:lineRule="auto"/>
              <w:jc w:val="center"/>
              <w:rPr>
                <w:rFonts w:ascii="Times New Roman" w:eastAsia="Times New Roman" w:hAnsi="Times New Roman" w:cs="Times New Roman"/>
                <w:lang w:eastAsia="sl-SI"/>
              </w:rPr>
            </w:pPr>
            <w:r w:rsidRPr="007F5499">
              <w:rPr>
                <w:rFonts w:ascii="Times New Roman" w:eastAsia="Times New Roman" w:hAnsi="Times New Roman" w:cs="Times New Roman"/>
                <w:b/>
                <w:bCs/>
                <w:color w:val="000000"/>
                <w:lang w:eastAsia="sl-SI"/>
              </w:rPr>
              <w:t>Number (%)</w:t>
            </w:r>
          </w:p>
        </w:tc>
      </w:tr>
      <w:tr w:rsidR="00946E2E" w14:paraId="62E7AE09"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FEC6E7"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b/>
                <w:bCs/>
                <w:color w:val="000000"/>
                <w:lang w:eastAsia="sl-SI"/>
              </w:rPr>
              <w:t>Years of employment</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E2169E0"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hAnsi="Times New Roman" w:cs="Times New Roman"/>
              </w:rPr>
              <w:t xml:space="preserve"> </w:t>
            </w:r>
          </w:p>
        </w:tc>
      </w:tr>
      <w:tr w:rsidR="00946E2E" w14:paraId="2D9E1F44"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0C6C41"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less than 1 year</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A1E36A"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40 (6.9)</w:t>
            </w:r>
          </w:p>
        </w:tc>
      </w:tr>
      <w:tr w:rsidR="00946E2E" w14:paraId="5CD8CDFF"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2251AA"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1-5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DA3B80F"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185 (31.9)</w:t>
            </w:r>
          </w:p>
        </w:tc>
      </w:tr>
      <w:tr w:rsidR="00946E2E" w14:paraId="6982328A"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639279"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6-10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AF6CF78"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127 (21.9)</w:t>
            </w:r>
          </w:p>
        </w:tc>
      </w:tr>
      <w:tr w:rsidR="00946E2E" w14:paraId="4F99999D"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D9D364"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11-15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8F7573"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94 (16.2)</w:t>
            </w:r>
          </w:p>
        </w:tc>
      </w:tr>
      <w:tr w:rsidR="00946E2E" w14:paraId="71FF24CB"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A6F7E5"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16-20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81008E"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59 (10.2)</w:t>
            </w:r>
          </w:p>
        </w:tc>
      </w:tr>
      <w:tr w:rsidR="00946E2E" w14:paraId="1F8A03BA"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337E73"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more than 20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86E19D"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75 (12.9)</w:t>
            </w:r>
          </w:p>
        </w:tc>
      </w:tr>
      <w:tr w:rsidR="00946E2E" w14:paraId="7BCD7A35"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BDB92F"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b/>
                <w:bCs/>
                <w:color w:val="000000"/>
                <w:lang w:eastAsia="sl-SI"/>
              </w:rPr>
              <w:t>Years of work experience</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7605E8"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hAnsi="Times New Roman" w:cs="Times New Roman"/>
              </w:rPr>
              <w:t xml:space="preserve"> </w:t>
            </w:r>
          </w:p>
        </w:tc>
      </w:tr>
      <w:tr w:rsidR="00946E2E" w14:paraId="32B1BCF5"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D636CC"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less than 10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00E72E"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35 (5.9)</w:t>
            </w:r>
          </w:p>
        </w:tc>
      </w:tr>
      <w:tr w:rsidR="00946E2E" w14:paraId="2E14ABA7"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AAD68C"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11-20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FF5A702"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142 (24.1)</w:t>
            </w:r>
          </w:p>
        </w:tc>
      </w:tr>
      <w:tr w:rsidR="00946E2E" w14:paraId="01FB14D6"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09FAC9"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21-30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BE6D80C"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237 (40.2)</w:t>
            </w:r>
          </w:p>
        </w:tc>
      </w:tr>
      <w:tr w:rsidR="00946E2E" w14:paraId="3B729841"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5B0C5E"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31-40 years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7F63595"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175 (29.7)</w:t>
            </w:r>
          </w:p>
        </w:tc>
      </w:tr>
      <w:tr w:rsidR="00946E2E" w14:paraId="725099F2"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47CAA8" w14:textId="66314ABA"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b/>
                <w:bCs/>
                <w:color w:val="000000"/>
                <w:lang w:eastAsia="sl-SI"/>
              </w:rPr>
              <w:t>Size of local administrative authority  (number of employees)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366F16"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hAnsi="Times New Roman" w:cs="Times New Roman"/>
              </w:rPr>
              <w:t xml:space="preserve"> </w:t>
            </w:r>
          </w:p>
        </w:tc>
      </w:tr>
      <w:tr w:rsidR="00946E2E" w14:paraId="23C0C325"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2EDBF7"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less than 20</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B960BB"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45 (7.6)</w:t>
            </w:r>
          </w:p>
        </w:tc>
      </w:tr>
      <w:tr w:rsidR="00946E2E" w14:paraId="0B5FC398"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0B3AC8"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21-40</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DAEA6B"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89 (15.0)</w:t>
            </w:r>
          </w:p>
        </w:tc>
      </w:tr>
      <w:tr w:rsidR="00946E2E" w14:paraId="51FA699B"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DF64F3"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41-60</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C30AA19"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38 (6.4)</w:t>
            </w:r>
          </w:p>
        </w:tc>
      </w:tr>
      <w:tr w:rsidR="00946E2E" w14:paraId="0E0AC9F5"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B24810"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61-80</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833EBD"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5 (0.8)</w:t>
            </w:r>
          </w:p>
        </w:tc>
      </w:tr>
      <w:tr w:rsidR="00946E2E" w14:paraId="1FA4C791"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F261B1"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81-100</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9AAB27"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122 (20.5)</w:t>
            </w:r>
          </w:p>
        </w:tc>
      </w:tr>
      <w:tr w:rsidR="00946E2E" w14:paraId="74C56716"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88DBB2"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more than 100</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610339"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295 (49.7)</w:t>
            </w:r>
          </w:p>
        </w:tc>
      </w:tr>
      <w:tr w:rsidR="00946E2E" w14:paraId="46935DDA"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10BED6" w14:textId="0C0CAE38"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b/>
                <w:bCs/>
                <w:color w:val="000000"/>
                <w:lang w:eastAsia="sl-SI"/>
              </w:rPr>
              <w:t>Size of local administrative authority (number of inhabitants)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75FDB9"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hAnsi="Times New Roman" w:cs="Times New Roman"/>
              </w:rPr>
              <w:t xml:space="preserve"> </w:t>
            </w:r>
          </w:p>
        </w:tc>
      </w:tr>
      <w:tr w:rsidR="00946E2E" w14:paraId="0CB9C620"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843E27"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small administrative unit (up to 18.000 inhabitants)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2511C5C"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121 (40.1)</w:t>
            </w:r>
          </w:p>
        </w:tc>
      </w:tr>
      <w:tr w:rsidR="00946E2E" w14:paraId="2595672C"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F25ECA" w14:textId="31B40305"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lastRenderedPageBreak/>
              <w:t>medium administrative unit (18.000 to 50.000 inhabitants)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2B48D1"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17 (5.6)</w:t>
            </w:r>
          </w:p>
        </w:tc>
      </w:tr>
      <w:tr w:rsidR="00946E2E" w14:paraId="4C4A22F2"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A3D661"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large administrative unit (50.000 to 100.000 inhabitants)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642771"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63 (20.9)</w:t>
            </w:r>
          </w:p>
        </w:tc>
      </w:tr>
      <w:tr w:rsidR="00946E2E" w14:paraId="54904848"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2B725B" w14:textId="61E496E1" w:rsidR="00EB1218" w:rsidRPr="007F5499" w:rsidRDefault="00B8584D" w:rsidP="00EB1218">
            <w:pPr>
              <w:spacing w:after="0" w:line="240" w:lineRule="auto"/>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very large administrative unit (over 100.000 inhabitants)</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CF0219"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101 (33.4)</w:t>
            </w:r>
          </w:p>
        </w:tc>
      </w:tr>
      <w:tr w:rsidR="00946E2E" w14:paraId="51F6BD6A"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31CBC5" w14:textId="5D845C5B" w:rsidR="00EB1218" w:rsidRPr="007F5499" w:rsidRDefault="008F1DD3" w:rsidP="00EB1218">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b/>
                <w:bCs/>
                <w:color w:val="000000"/>
                <w:lang w:eastAsia="sl-SI"/>
              </w:rPr>
              <w:t>Coverage area of local administrative authority</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76327B3"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hAnsi="Times New Roman" w:cs="Times New Roman"/>
              </w:rPr>
              <w:t xml:space="preserve"> </w:t>
            </w:r>
          </w:p>
        </w:tc>
      </w:tr>
      <w:tr w:rsidR="00946E2E" w14:paraId="10644B5D"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CD7EFA"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predominantly urban area</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8CECC6"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210 (35.7)</w:t>
            </w:r>
          </w:p>
        </w:tc>
      </w:tr>
      <w:tr w:rsidR="00946E2E" w14:paraId="517C82D6"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ABFAAF"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predominantly rural area</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ABD0BDA"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379 (64.3)</w:t>
            </w:r>
          </w:p>
        </w:tc>
      </w:tr>
      <w:tr w:rsidR="00946E2E" w14:paraId="3F68D488"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B42103"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b/>
                <w:bCs/>
                <w:color w:val="000000"/>
                <w:lang w:eastAsia="sl-SI"/>
              </w:rPr>
              <w:t>Country</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9633EB1" w14:textId="77777777" w:rsidR="00EB1218" w:rsidRPr="007F5499" w:rsidRDefault="00066F6D" w:rsidP="00EB1218">
            <w:pPr>
              <w:spacing w:after="0" w:line="240" w:lineRule="auto"/>
              <w:rPr>
                <w:rFonts w:ascii="Times New Roman" w:eastAsia="Times New Roman" w:hAnsi="Times New Roman" w:cs="Times New Roman"/>
                <w:lang w:eastAsia="sl-SI"/>
              </w:rPr>
            </w:pPr>
            <w:r w:rsidRPr="007F5499">
              <w:rPr>
                <w:rFonts w:ascii="Times New Roman" w:hAnsi="Times New Roman" w:cs="Times New Roman"/>
              </w:rPr>
              <w:t xml:space="preserve"> </w:t>
            </w:r>
          </w:p>
        </w:tc>
      </w:tr>
      <w:tr w:rsidR="00946E2E" w14:paraId="5FA43AA7"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AE4325"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Czech Republic</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F529ED5"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50 (8.2)</w:t>
            </w:r>
          </w:p>
        </w:tc>
      </w:tr>
      <w:tr w:rsidR="00946E2E" w14:paraId="5CB65D76"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A6AFA60"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Germany</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140952"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62 (10.2)</w:t>
            </w:r>
          </w:p>
        </w:tc>
      </w:tr>
      <w:tr w:rsidR="00946E2E" w14:paraId="04C36089"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2C6D6E"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Poland</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26EEE93"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260 (42.6)</w:t>
            </w:r>
          </w:p>
        </w:tc>
      </w:tr>
      <w:tr w:rsidR="00946E2E" w14:paraId="733738F4"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5B2728"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Romania</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1FA1D00"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182 (29.8)</w:t>
            </w:r>
          </w:p>
        </w:tc>
      </w:tr>
      <w:tr w:rsidR="00946E2E" w14:paraId="367E78C0" w14:textId="77777777" w:rsidTr="00CF243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90CC13" w14:textId="77777777" w:rsidR="00EB1218" w:rsidRPr="007F5499" w:rsidRDefault="00066F6D" w:rsidP="00EB1218">
            <w:pPr>
              <w:spacing w:after="0" w:line="240" w:lineRule="auto"/>
              <w:jc w:val="both"/>
              <w:rPr>
                <w:rFonts w:ascii="Times New Roman" w:eastAsia="Times New Roman" w:hAnsi="Times New Roman" w:cs="Times New Roman"/>
                <w:lang w:eastAsia="sl-SI"/>
              </w:rPr>
            </w:pPr>
            <w:r w:rsidRPr="007F5499">
              <w:rPr>
                <w:rFonts w:ascii="Times New Roman" w:eastAsia="Times New Roman" w:hAnsi="Times New Roman" w:cs="Times New Roman"/>
                <w:color w:val="000000"/>
                <w:lang w:eastAsia="sl-SI"/>
              </w:rPr>
              <w:t>Slovenia</w:t>
            </w:r>
          </w:p>
        </w:tc>
        <w:tc>
          <w:tcPr>
            <w:tcW w:w="2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F1C0CE" w14:textId="77777777" w:rsidR="00EB1218" w:rsidRPr="007F5499" w:rsidRDefault="00066F6D" w:rsidP="00EB1218">
            <w:pPr>
              <w:spacing w:after="0" w:line="240" w:lineRule="auto"/>
              <w:jc w:val="center"/>
              <w:rPr>
                <w:rFonts w:ascii="Times New Roman" w:eastAsia="Times New Roman" w:hAnsi="Times New Roman" w:cs="Times New Roman"/>
                <w:lang w:eastAsia="sl-SI"/>
              </w:rPr>
            </w:pPr>
            <w:r w:rsidRPr="007F5499">
              <w:rPr>
                <w:rFonts w:ascii="Times New Roman" w:hAnsi="Times New Roman" w:cs="Times New Roman"/>
              </w:rPr>
              <w:t>56 (9.2)</w:t>
            </w:r>
          </w:p>
        </w:tc>
      </w:tr>
    </w:tbl>
    <w:p w14:paraId="2CEB3664" w14:textId="39D7E9DF" w:rsidR="00C657F5" w:rsidRPr="007F5499" w:rsidRDefault="00066F6D" w:rsidP="00EC4F06">
      <w:pPr>
        <w:spacing w:after="0" w:line="24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Note: The final sample consists of 610 respondents, some of whom did not provide information on </w:t>
      </w:r>
      <w:r w:rsidRPr="007F5499">
        <w:rPr>
          <w:rFonts w:ascii="Times New Roman" w:eastAsia="Calibri" w:hAnsi="Times New Roman" w:cs="Times New Roman"/>
          <w:sz w:val="24"/>
          <w:szCs w:val="24"/>
        </w:rPr>
        <w:t>sociodemographic</w:t>
      </w:r>
      <w:r w:rsidRPr="007F5499">
        <w:rPr>
          <w:rFonts w:ascii="Times New Roman" w:hAnsi="Times New Roman" w:cs="Times New Roman"/>
          <w:sz w:val="24"/>
          <w:szCs w:val="24"/>
        </w:rPr>
        <w:t xml:space="preserve"> characteristics.</w:t>
      </w:r>
    </w:p>
    <w:p w14:paraId="56926F98" w14:textId="77777777" w:rsidR="005E6413" w:rsidRPr="007F5499" w:rsidRDefault="005E6413" w:rsidP="006656B2">
      <w:pPr>
        <w:spacing w:line="240" w:lineRule="auto"/>
        <w:jc w:val="both"/>
        <w:rPr>
          <w:rFonts w:ascii="Times New Roman" w:hAnsi="Times New Roman" w:cs="Times New Roman"/>
          <w:sz w:val="24"/>
          <w:szCs w:val="24"/>
        </w:rPr>
      </w:pPr>
    </w:p>
    <w:p w14:paraId="4AD00F2E" w14:textId="77777777" w:rsidR="001C3801" w:rsidRPr="007F5499" w:rsidRDefault="001C3801" w:rsidP="00B341EF">
      <w:pPr>
        <w:spacing w:line="360" w:lineRule="auto"/>
        <w:jc w:val="both"/>
        <w:rPr>
          <w:rFonts w:ascii="Times New Roman" w:hAnsi="Times New Roman" w:cs="Times New Roman"/>
          <w:sz w:val="24"/>
          <w:szCs w:val="24"/>
        </w:rPr>
      </w:pPr>
    </w:p>
    <w:p w14:paraId="2AE3464F" w14:textId="6094F8CB" w:rsidR="001C3801"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Using a survey to prove our hypotheses could be </w:t>
      </w:r>
      <w:r w:rsidRPr="007F5499">
        <w:rPr>
          <w:rFonts w:ascii="Times New Roman" w:eastAsia="Calibri" w:hAnsi="Times New Roman" w:cs="Times New Roman"/>
          <w:sz w:val="24"/>
          <w:szCs w:val="24"/>
        </w:rPr>
        <w:t>criticized,</w:t>
      </w:r>
      <w:r w:rsidRPr="007F5499">
        <w:rPr>
          <w:rFonts w:ascii="Times New Roman" w:hAnsi="Times New Roman" w:cs="Times New Roman"/>
          <w:sz w:val="24"/>
          <w:szCs w:val="24"/>
        </w:rPr>
        <w:t xml:space="preserve"> as the participants’ evaluations are subjective (Nitzl et al. 2020). Subjective measures are more responsive to common method variance (CMV) and could be affected by social desirability bias (Song and Meier 2018). Nevertheless, subjective measures are often the only way to receive internal information from organizations (Van der Stede et al. 2005; Speklé and Widener 2018). There are more reasons why using a survey is suitable for our study approach (Abernethy et al., 2013; Nicolaou et al., 2011; Schäfer et al. 2021). Walker and Andrews (2015) show that in a local government context, studies using archival data are not more robust in terms of overemphasized effects than those using survey data. Due to the complexity and length of the questionnaire employed in this study, the likelihood that the respondents would provide biased estimations based on cognitive maps is quite small (Chang et al. 2010).</w:t>
      </w:r>
    </w:p>
    <w:p w14:paraId="3AE47B14" w14:textId="77777777" w:rsidR="004858C1"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We took additional measures to reduce CMV. We asked only public managers to participate in our survey study. Most of them had been working in the public sector for many years (</w:t>
      </w:r>
      <w:r w:rsidRPr="007F5499">
        <w:rPr>
          <w:rFonts w:ascii="Times New Roman" w:eastAsia="Calibri" w:hAnsi="Times New Roman" w:cs="Times New Roman"/>
          <w:sz w:val="24"/>
          <w:szCs w:val="24"/>
        </w:rPr>
        <w:t>approximately</w:t>
      </w:r>
      <w:r w:rsidRPr="007F5499">
        <w:rPr>
          <w:rFonts w:ascii="Times New Roman" w:hAnsi="Times New Roman" w:cs="Times New Roman"/>
          <w:sz w:val="24"/>
          <w:szCs w:val="24"/>
        </w:rPr>
        <w:t xml:space="preserve"> 60% of public managers had been </w:t>
      </w:r>
      <w:r w:rsidRPr="007F5499">
        <w:rPr>
          <w:rFonts w:ascii="Times New Roman" w:eastAsia="Calibri" w:hAnsi="Times New Roman" w:cs="Times New Roman"/>
          <w:sz w:val="24"/>
          <w:szCs w:val="24"/>
        </w:rPr>
        <w:t>in</w:t>
      </w:r>
      <w:r w:rsidRPr="007F5499">
        <w:rPr>
          <w:rFonts w:ascii="Times New Roman" w:hAnsi="Times New Roman" w:cs="Times New Roman"/>
          <w:sz w:val="24"/>
          <w:szCs w:val="24"/>
        </w:rPr>
        <w:t xml:space="preserve"> their position for more than 5 years</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and </w:t>
      </w:r>
      <w:r w:rsidRPr="007F5499">
        <w:rPr>
          <w:rFonts w:ascii="Times New Roman" w:eastAsia="Calibri" w:hAnsi="Times New Roman" w:cs="Times New Roman"/>
          <w:sz w:val="24"/>
          <w:szCs w:val="24"/>
        </w:rPr>
        <w:t>approximately</w:t>
      </w:r>
      <w:r w:rsidRPr="007F5499">
        <w:rPr>
          <w:rFonts w:ascii="Times New Roman" w:hAnsi="Times New Roman" w:cs="Times New Roman"/>
          <w:sz w:val="24"/>
          <w:szCs w:val="24"/>
        </w:rPr>
        <w:t xml:space="preserve"> 70% of them had more than 20 years of work experience), and due to their function, they are expected to have good knowledge of the overall situation of their local administration. We assured them of anonymity to mitigate the possible effects of social desirability.</w:t>
      </w:r>
    </w:p>
    <w:p w14:paraId="492F214B" w14:textId="5C8A2619" w:rsidR="00353CDD"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lastRenderedPageBreak/>
        <w:t>All constructs we measure are based on multiple items (Appendix A) and are measured on a 5-point Likert scale (1=significantly smaller, 5= significantly higher).</w:t>
      </w:r>
      <w:r>
        <w:rPr>
          <w:rStyle w:val="Funotenzeichen"/>
          <w:rFonts w:ascii="Times New Roman" w:hAnsi="Times New Roman" w:cs="Times New Roman"/>
          <w:sz w:val="24"/>
          <w:szCs w:val="24"/>
        </w:rPr>
        <w:footnoteReference w:id="2"/>
      </w:r>
    </w:p>
    <w:p w14:paraId="301D23AC" w14:textId="0A299410" w:rsidR="00671560" w:rsidRPr="007F5499" w:rsidRDefault="00066F6D" w:rsidP="00B341EF">
      <w:pPr>
        <w:spacing w:line="360" w:lineRule="auto"/>
        <w:jc w:val="both"/>
        <w:rPr>
          <w:rFonts w:ascii="Times New Roman" w:hAnsi="Times New Roman" w:cs="Times New Roman"/>
          <w:i/>
          <w:sz w:val="24"/>
          <w:szCs w:val="24"/>
        </w:rPr>
      </w:pPr>
      <w:r w:rsidRPr="007F5499">
        <w:rPr>
          <w:rFonts w:ascii="Times New Roman" w:hAnsi="Times New Roman" w:cs="Times New Roman"/>
          <w:sz w:val="24"/>
          <w:szCs w:val="24"/>
        </w:rPr>
        <w:t xml:space="preserve">The </w:t>
      </w:r>
      <w:r w:rsidRPr="007F5499">
        <w:rPr>
          <w:rFonts w:ascii="Times New Roman" w:eastAsia="Calibri" w:hAnsi="Times New Roman" w:cs="Times New Roman"/>
          <w:i/>
          <w:sz w:val="24"/>
          <w:szCs w:val="24"/>
        </w:rPr>
        <w:t>COVID-</w:t>
      </w:r>
      <w:r w:rsidRPr="007F5499">
        <w:rPr>
          <w:rFonts w:ascii="Times New Roman" w:hAnsi="Times New Roman" w:cs="Times New Roman"/>
          <w:i/>
          <w:sz w:val="24"/>
          <w:szCs w:val="24"/>
        </w:rPr>
        <w:t>19-accelerated use of digitalized communication tools</w:t>
      </w:r>
      <w:r w:rsidR="002A7005">
        <w:rPr>
          <w:rFonts w:ascii="Times New Roman" w:hAnsi="Times New Roman" w:cs="Times New Roman"/>
          <w:sz w:val="24"/>
          <w:szCs w:val="24"/>
        </w:rPr>
        <w:t xml:space="preserve"> (“digitalized communication”) construct is based on the ideas of Moon and Norris (2005) and Andersen et al. (2011). Moon and Norris (2005) defined a construct</w:t>
      </w:r>
      <w:r w:rsidR="00932EF4">
        <w:rPr>
          <w:rFonts w:ascii="Times New Roman" w:hAnsi="Times New Roman" w:cs="Times New Roman"/>
          <w:sz w:val="24"/>
          <w:szCs w:val="24"/>
        </w:rPr>
        <w:t xml:space="preserve"> called the</w:t>
      </w:r>
      <w:r w:rsidR="002A7005">
        <w:rPr>
          <w:rFonts w:ascii="Times New Roman" w:hAnsi="Times New Roman" w:cs="Times New Roman"/>
          <w:sz w:val="24"/>
          <w:szCs w:val="24"/>
        </w:rPr>
        <w:t xml:space="preserve"> “extent of municipal e-government” (p. 50)</w:t>
      </w:r>
      <w:r w:rsidR="00932EF4">
        <w:rPr>
          <w:rFonts w:ascii="Times New Roman" w:hAnsi="Times New Roman" w:cs="Times New Roman"/>
          <w:sz w:val="24"/>
          <w:szCs w:val="24"/>
        </w:rPr>
        <w:t xml:space="preserve">, which </w:t>
      </w:r>
      <w:r w:rsidR="00B57868" w:rsidRPr="007F5499">
        <w:rPr>
          <w:rFonts w:ascii="Times New Roman" w:hAnsi="Times New Roman" w:cs="Times New Roman"/>
          <w:sz w:val="24"/>
          <w:szCs w:val="24"/>
        </w:rPr>
        <w:t xml:space="preserve">contains variables </w:t>
      </w:r>
      <w:r w:rsidR="00500094">
        <w:rPr>
          <w:rFonts w:ascii="Times New Roman" w:hAnsi="Times New Roman" w:cs="Times New Roman"/>
          <w:sz w:val="24"/>
          <w:szCs w:val="24"/>
        </w:rPr>
        <w:t>for</w:t>
      </w:r>
      <w:r w:rsidR="00500094" w:rsidRPr="007F5499">
        <w:rPr>
          <w:rFonts w:ascii="Times New Roman" w:hAnsi="Times New Roman" w:cs="Times New Roman"/>
          <w:sz w:val="24"/>
          <w:szCs w:val="24"/>
        </w:rPr>
        <w:t xml:space="preserve"> </w:t>
      </w:r>
      <w:r w:rsidR="00B57868" w:rsidRPr="007F5499">
        <w:rPr>
          <w:rFonts w:ascii="Times New Roman" w:hAnsi="Times New Roman" w:cs="Times New Roman"/>
          <w:sz w:val="24"/>
          <w:szCs w:val="24"/>
        </w:rPr>
        <w:t xml:space="preserve">the adoption of municipal websites, the adoption of intranet and the development of a strategic e-government plan for municipalities. </w:t>
      </w:r>
      <w:r w:rsidR="00F57585">
        <w:rPr>
          <w:rFonts w:ascii="Times New Roman" w:hAnsi="Times New Roman" w:cs="Times New Roman"/>
          <w:sz w:val="24"/>
          <w:szCs w:val="24"/>
        </w:rPr>
        <w:t>Similar</w:t>
      </w:r>
      <w:r w:rsidR="000B591D">
        <w:rPr>
          <w:rFonts w:ascii="Times New Roman" w:hAnsi="Times New Roman" w:cs="Times New Roman"/>
          <w:sz w:val="24"/>
          <w:szCs w:val="24"/>
        </w:rPr>
        <w:t>ly</w:t>
      </w:r>
      <w:r w:rsidR="00F57585">
        <w:rPr>
          <w:rFonts w:ascii="Times New Roman" w:hAnsi="Times New Roman" w:cs="Times New Roman"/>
          <w:sz w:val="24"/>
          <w:szCs w:val="24"/>
        </w:rPr>
        <w:t>, Andersen et al. (2011) mention e-mail, web 2.0 tools, chats, video conferencing and webpage-oriented online services as dominant digitalization tools in public sector organi</w:t>
      </w:r>
      <w:r w:rsidR="00886A19">
        <w:rPr>
          <w:rFonts w:ascii="Times New Roman" w:hAnsi="Times New Roman" w:cs="Times New Roman"/>
          <w:sz w:val="24"/>
          <w:szCs w:val="24"/>
        </w:rPr>
        <w:t>z</w:t>
      </w:r>
      <w:r w:rsidR="00F57585">
        <w:rPr>
          <w:rFonts w:ascii="Times New Roman" w:hAnsi="Times New Roman" w:cs="Times New Roman"/>
          <w:sz w:val="24"/>
          <w:szCs w:val="24"/>
        </w:rPr>
        <w:t xml:space="preserve">ations. We adjusted these approaches to the COVID-19 crisis context, in which only short-term changes in the communication between civil servants of the local administration and its stakeholders (“parties”) could be realized. </w:t>
      </w:r>
      <w:r w:rsidR="00B57868" w:rsidRPr="007F5499">
        <w:rPr>
          <w:rFonts w:ascii="Times New Roman" w:hAnsi="Times New Roman" w:cs="Times New Roman"/>
          <w:sz w:val="24"/>
          <w:szCs w:val="24"/>
        </w:rPr>
        <w:t>Therefore</w:t>
      </w:r>
      <w:r w:rsidRPr="007F5499">
        <w:rPr>
          <w:rFonts w:ascii="Times New Roman" w:eastAsia="Calibri" w:hAnsi="Times New Roman" w:cs="Times New Roman"/>
          <w:sz w:val="24"/>
          <w:szCs w:val="24"/>
        </w:rPr>
        <w:t>,</w:t>
      </w:r>
      <w:r w:rsidR="00B57868" w:rsidRPr="007F5499">
        <w:rPr>
          <w:rFonts w:ascii="Times New Roman" w:hAnsi="Times New Roman" w:cs="Times New Roman"/>
          <w:sz w:val="24"/>
          <w:szCs w:val="24"/>
        </w:rPr>
        <w:t xml:space="preserve"> we asked participants the following question: </w:t>
      </w:r>
      <w:r w:rsidR="00803872" w:rsidRPr="007F5499">
        <w:rPr>
          <w:rFonts w:ascii="Times New Roman" w:hAnsi="Times New Roman" w:cs="Times New Roman"/>
          <w:i/>
          <w:sz w:val="24"/>
          <w:szCs w:val="24"/>
        </w:rPr>
        <w:t>During the pandemic period, compared to normal operations, please estimate the frequency of administrative procedures and services provided by the administrative unit in relation to parties through the communication channels listed below: (a) personal contacts (meetings, appointments, etc.) [DC_a], (b) phone [</w:t>
      </w:r>
      <w:proofErr w:type="spellStart"/>
      <w:r w:rsidR="00803872" w:rsidRPr="007F5499">
        <w:rPr>
          <w:rFonts w:ascii="Times New Roman" w:hAnsi="Times New Roman" w:cs="Times New Roman"/>
          <w:i/>
          <w:sz w:val="24"/>
          <w:szCs w:val="24"/>
        </w:rPr>
        <w:t>DC_b</w:t>
      </w:r>
      <w:proofErr w:type="spellEnd"/>
      <w:r w:rsidR="00803872" w:rsidRPr="007F5499">
        <w:rPr>
          <w:rFonts w:ascii="Times New Roman" w:hAnsi="Times New Roman" w:cs="Times New Roman"/>
          <w:i/>
          <w:sz w:val="24"/>
          <w:szCs w:val="24"/>
        </w:rPr>
        <w:t>], (c) e-mail [</w:t>
      </w:r>
      <w:proofErr w:type="spellStart"/>
      <w:r w:rsidR="00803872" w:rsidRPr="007F5499">
        <w:rPr>
          <w:rFonts w:ascii="Times New Roman" w:hAnsi="Times New Roman" w:cs="Times New Roman"/>
          <w:i/>
          <w:sz w:val="24"/>
          <w:szCs w:val="24"/>
        </w:rPr>
        <w:t>DC_c</w:t>
      </w:r>
      <w:proofErr w:type="spellEnd"/>
      <w:r w:rsidR="00803872" w:rsidRPr="007F5499">
        <w:rPr>
          <w:rFonts w:ascii="Times New Roman" w:hAnsi="Times New Roman" w:cs="Times New Roman"/>
          <w:i/>
          <w:sz w:val="24"/>
          <w:szCs w:val="24"/>
        </w:rPr>
        <w:t>], (d) administrative unit website [DC_d], (e) web portals (e-Government…) [DC_e], (f) video conferences (Zoom, Skype, etc.) [</w:t>
      </w:r>
      <w:proofErr w:type="spellStart"/>
      <w:r w:rsidR="00803872" w:rsidRPr="007F5499">
        <w:rPr>
          <w:rFonts w:ascii="Times New Roman" w:hAnsi="Times New Roman" w:cs="Times New Roman"/>
          <w:i/>
          <w:sz w:val="24"/>
          <w:szCs w:val="24"/>
        </w:rPr>
        <w:t>DC_f</w:t>
      </w:r>
      <w:proofErr w:type="spellEnd"/>
      <w:r w:rsidR="00803872" w:rsidRPr="007F5499">
        <w:rPr>
          <w:rFonts w:ascii="Times New Roman" w:hAnsi="Times New Roman" w:cs="Times New Roman"/>
          <w:i/>
          <w:sz w:val="24"/>
          <w:szCs w:val="24"/>
        </w:rPr>
        <w:t>], and (g) social networks (Facebook, Twitter, etc.) [</w:t>
      </w:r>
      <w:proofErr w:type="spellStart"/>
      <w:r w:rsidR="00803872" w:rsidRPr="007F5499">
        <w:rPr>
          <w:rFonts w:ascii="Times New Roman" w:hAnsi="Times New Roman" w:cs="Times New Roman"/>
          <w:i/>
          <w:sz w:val="24"/>
          <w:szCs w:val="24"/>
        </w:rPr>
        <w:t>DC_g</w:t>
      </w:r>
      <w:proofErr w:type="spellEnd"/>
      <w:r w:rsidR="00803872" w:rsidRPr="007F5499">
        <w:rPr>
          <w:rFonts w:ascii="Times New Roman" w:hAnsi="Times New Roman" w:cs="Times New Roman"/>
          <w:i/>
          <w:sz w:val="24"/>
          <w:szCs w:val="24"/>
        </w:rPr>
        <w:t xml:space="preserve">]. Communication via personal contacts [DC_a] </w:t>
      </w:r>
      <w:r w:rsidR="00B57868" w:rsidRPr="007F5499">
        <w:rPr>
          <w:rFonts w:ascii="Times New Roman" w:hAnsi="Times New Roman" w:cs="Times New Roman"/>
          <w:sz w:val="24"/>
          <w:szCs w:val="24"/>
        </w:rPr>
        <w:t>and</w:t>
      </w:r>
      <w:r w:rsidR="00803872" w:rsidRPr="007F5499">
        <w:rPr>
          <w:rFonts w:ascii="Times New Roman" w:hAnsi="Times New Roman" w:cs="Times New Roman"/>
          <w:i/>
          <w:sz w:val="24"/>
          <w:szCs w:val="24"/>
        </w:rPr>
        <w:t xml:space="preserve"> phone [DC-b] </w:t>
      </w:r>
      <w:r w:rsidR="00B57868" w:rsidRPr="007F5499">
        <w:rPr>
          <w:rFonts w:ascii="Times New Roman" w:hAnsi="Times New Roman" w:cs="Times New Roman"/>
          <w:sz w:val="24"/>
          <w:szCs w:val="24"/>
        </w:rPr>
        <w:t>are used as reverse items for measuring the use of digitalized communication contracts.</w:t>
      </w:r>
      <w:r w:rsidR="00B57868" w:rsidRPr="007F5499">
        <w:rPr>
          <w:rFonts w:ascii="Times New Roman" w:hAnsi="Times New Roman" w:cs="Times New Roman"/>
          <w:i/>
          <w:sz w:val="24"/>
          <w:szCs w:val="24"/>
        </w:rPr>
        <w:t xml:space="preserve"> </w:t>
      </w:r>
    </w:p>
    <w:p w14:paraId="68EE46C3" w14:textId="5AB081E3" w:rsidR="0074790E"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construct </w:t>
      </w:r>
      <w:r w:rsidRPr="007F5499">
        <w:rPr>
          <w:rFonts w:ascii="Times New Roman" w:hAnsi="Times New Roman" w:cs="Times New Roman"/>
          <w:i/>
          <w:sz w:val="24"/>
          <w:szCs w:val="24"/>
        </w:rPr>
        <w:t>good governance orientation</w:t>
      </w:r>
      <w:r w:rsidRPr="007F5499">
        <w:rPr>
          <w:rFonts w:ascii="Times New Roman" w:hAnsi="Times New Roman" w:cs="Times New Roman"/>
          <w:sz w:val="24"/>
          <w:szCs w:val="24"/>
        </w:rPr>
        <w:t xml:space="preserve"> (“good governance”) consists of five items. The items are based on the five most relevant principles of good governance, as described by Kovač et al. (2016). We ask the following question: </w:t>
      </w:r>
      <w:r w:rsidR="00803872" w:rsidRPr="007F5499">
        <w:rPr>
          <w:rFonts w:ascii="Times New Roman" w:hAnsi="Times New Roman" w:cs="Times New Roman"/>
          <w:i/>
          <w:sz w:val="24"/>
          <w:szCs w:val="24"/>
        </w:rPr>
        <w:t>During the pandemic period, compared to normal operations, please estimate the orientation of legislation, guidelines and instructions (measures) to the following principles of good public governance: (a) rule of law [</w:t>
      </w:r>
      <w:proofErr w:type="spellStart"/>
      <w:r w:rsidR="00803872" w:rsidRPr="007F5499">
        <w:rPr>
          <w:rFonts w:ascii="Times New Roman" w:hAnsi="Times New Roman" w:cs="Times New Roman"/>
          <w:i/>
          <w:sz w:val="24"/>
          <w:szCs w:val="24"/>
        </w:rPr>
        <w:t>GG_a</w:t>
      </w:r>
      <w:proofErr w:type="spellEnd"/>
      <w:r w:rsidR="00803872" w:rsidRPr="007F5499">
        <w:rPr>
          <w:rFonts w:ascii="Times New Roman" w:hAnsi="Times New Roman" w:cs="Times New Roman"/>
          <w:i/>
          <w:sz w:val="24"/>
          <w:szCs w:val="24"/>
        </w:rPr>
        <w:t>], (b) efficiency [</w:t>
      </w:r>
      <w:proofErr w:type="spellStart"/>
      <w:r w:rsidR="00803872" w:rsidRPr="007F5499">
        <w:rPr>
          <w:rFonts w:ascii="Times New Roman" w:hAnsi="Times New Roman" w:cs="Times New Roman"/>
          <w:i/>
          <w:sz w:val="24"/>
          <w:szCs w:val="24"/>
        </w:rPr>
        <w:t>GG_b</w:t>
      </w:r>
      <w:proofErr w:type="spellEnd"/>
      <w:r w:rsidR="00803872" w:rsidRPr="007F5499">
        <w:rPr>
          <w:rFonts w:ascii="Times New Roman" w:hAnsi="Times New Roman" w:cs="Times New Roman"/>
          <w:i/>
          <w:sz w:val="24"/>
          <w:szCs w:val="24"/>
        </w:rPr>
        <w:t>], (c) responsiveness [GG_c], (d) participation [GG_4], and (e)</w:t>
      </w:r>
      <w:r w:rsidRPr="007F5499">
        <w:rPr>
          <w:rFonts w:ascii="Times New Roman" w:eastAsia="Calibri" w:hAnsi="Times New Roman" w:cs="Times New Roman"/>
          <w:i/>
          <w:sz w:val="24"/>
          <w:szCs w:val="24"/>
        </w:rPr>
        <w:t xml:space="preserve"> </w:t>
      </w:r>
      <w:r w:rsidR="00803872" w:rsidRPr="007F5499">
        <w:rPr>
          <w:rFonts w:ascii="Times New Roman" w:hAnsi="Times New Roman" w:cs="Times New Roman"/>
          <w:i/>
          <w:sz w:val="24"/>
          <w:szCs w:val="24"/>
        </w:rPr>
        <w:t>accountability [GG_5]</w:t>
      </w:r>
      <w:r w:rsidRPr="007F5499">
        <w:rPr>
          <w:rFonts w:ascii="Times New Roman" w:hAnsi="Times New Roman" w:cs="Times New Roman"/>
          <w:sz w:val="24"/>
          <w:szCs w:val="24"/>
        </w:rPr>
        <w:t>.</w:t>
      </w:r>
    </w:p>
    <w:p w14:paraId="181D9968" w14:textId="3BF692AA" w:rsidR="00F72F4F" w:rsidRPr="007F5499" w:rsidRDefault="00066F6D" w:rsidP="00B341EF">
      <w:pPr>
        <w:spacing w:line="360" w:lineRule="auto"/>
        <w:jc w:val="both"/>
        <w:rPr>
          <w:rFonts w:ascii="Times New Roman" w:hAnsi="Times New Roman" w:cs="Times New Roman"/>
          <w:i/>
          <w:sz w:val="24"/>
          <w:szCs w:val="24"/>
        </w:rPr>
      </w:pPr>
      <w:r w:rsidRPr="007F5499">
        <w:rPr>
          <w:rFonts w:ascii="Times New Roman" w:hAnsi="Times New Roman" w:cs="Times New Roman"/>
          <w:sz w:val="24"/>
          <w:szCs w:val="24"/>
        </w:rPr>
        <w:t xml:space="preserve">To measure the degree of new laws and regulations </w:t>
      </w:r>
      <w:r w:rsidR="00B8584D" w:rsidRPr="007F5499">
        <w:rPr>
          <w:rFonts w:ascii="Times New Roman" w:eastAsia="Calibri" w:hAnsi="Times New Roman" w:cs="Times New Roman"/>
          <w:sz w:val="24"/>
          <w:szCs w:val="24"/>
        </w:rPr>
        <w:t>that</w:t>
      </w:r>
      <w:r w:rsidRPr="007F5499">
        <w:rPr>
          <w:rFonts w:ascii="Times New Roman" w:hAnsi="Times New Roman" w:cs="Times New Roman"/>
          <w:sz w:val="24"/>
          <w:szCs w:val="24"/>
        </w:rPr>
        <w:t xml:space="preserve"> restrict the competence of a local organization (“new laws”</w:t>
      </w:r>
      <w:r w:rsidR="00DE79E1" w:rsidRPr="007F5499">
        <w:rPr>
          <w:rFonts w:ascii="Times New Roman" w:hAnsi="Times New Roman" w:cs="Times New Roman"/>
          <w:i/>
          <w:sz w:val="24"/>
          <w:szCs w:val="24"/>
        </w:rPr>
        <w:t>)</w:t>
      </w:r>
      <w:r w:rsidR="00B8584D" w:rsidRPr="007F5499">
        <w:rPr>
          <w:rFonts w:ascii="Times New Roman" w:eastAsia="Calibri" w:hAnsi="Times New Roman" w:cs="Times New Roman"/>
          <w:i/>
          <w:sz w:val="24"/>
          <w:szCs w:val="24"/>
        </w:rPr>
        <w:t>,</w:t>
      </w:r>
      <w:r w:rsidR="008416EE" w:rsidRPr="007F5499">
        <w:rPr>
          <w:rFonts w:ascii="Times New Roman" w:hAnsi="Times New Roman" w:cs="Times New Roman"/>
          <w:sz w:val="24"/>
          <w:szCs w:val="24"/>
        </w:rPr>
        <w:t xml:space="preserve"> we asked the participants to evaluate how </w:t>
      </w:r>
      <w:r w:rsidR="00B8584D" w:rsidRPr="007F5499">
        <w:rPr>
          <w:rFonts w:ascii="Times New Roman" w:eastAsia="Calibri" w:hAnsi="Times New Roman" w:cs="Times New Roman"/>
          <w:sz w:val="24"/>
          <w:szCs w:val="24"/>
        </w:rPr>
        <w:t>strongly</w:t>
      </w:r>
      <w:r w:rsidR="008416EE" w:rsidRPr="007F5499">
        <w:rPr>
          <w:rFonts w:ascii="Times New Roman" w:hAnsi="Times New Roman" w:cs="Times New Roman"/>
          <w:sz w:val="24"/>
          <w:szCs w:val="24"/>
        </w:rPr>
        <w:t xml:space="preserve"> their working procedures were influenced by </w:t>
      </w:r>
      <w:r w:rsidR="00B8584D" w:rsidRPr="007F5499">
        <w:rPr>
          <w:rFonts w:ascii="Times New Roman" w:eastAsia="Calibri" w:hAnsi="Times New Roman" w:cs="Times New Roman"/>
          <w:sz w:val="24"/>
          <w:szCs w:val="24"/>
        </w:rPr>
        <w:t>COVID</w:t>
      </w:r>
      <w:r w:rsidR="008416EE" w:rsidRPr="007F5499">
        <w:rPr>
          <w:rFonts w:ascii="Times New Roman" w:hAnsi="Times New Roman" w:cs="Times New Roman"/>
          <w:sz w:val="24"/>
          <w:szCs w:val="24"/>
        </w:rPr>
        <w:t>-19</w:t>
      </w:r>
      <w:r w:rsidR="00B8584D" w:rsidRPr="007F5499">
        <w:rPr>
          <w:rFonts w:ascii="Times New Roman" w:eastAsia="Calibri" w:hAnsi="Times New Roman" w:cs="Times New Roman"/>
          <w:sz w:val="24"/>
          <w:szCs w:val="24"/>
        </w:rPr>
        <w:t>-</w:t>
      </w:r>
      <w:r w:rsidR="008416EE" w:rsidRPr="007F5499">
        <w:rPr>
          <w:rFonts w:ascii="Times New Roman" w:hAnsi="Times New Roman" w:cs="Times New Roman"/>
          <w:sz w:val="24"/>
          <w:szCs w:val="24"/>
        </w:rPr>
        <w:t xml:space="preserve">induced changes in legislation and other requirements. Such an approach is based on the theoretical understanding of the </w:t>
      </w:r>
      <w:r w:rsidR="008416EE" w:rsidRPr="007F5499">
        <w:rPr>
          <w:rFonts w:ascii="Times New Roman" w:hAnsi="Times New Roman" w:cs="Times New Roman"/>
          <w:sz w:val="24"/>
          <w:szCs w:val="24"/>
        </w:rPr>
        <w:lastRenderedPageBreak/>
        <w:t xml:space="preserve">interdisciplinary operations of administration since purely legal </w:t>
      </w:r>
      <w:r w:rsidR="00B8584D" w:rsidRPr="007F5499">
        <w:rPr>
          <w:rFonts w:ascii="Times New Roman" w:eastAsia="Calibri" w:hAnsi="Times New Roman" w:cs="Times New Roman"/>
          <w:sz w:val="24"/>
          <w:szCs w:val="24"/>
        </w:rPr>
        <w:t>or</w:t>
      </w:r>
      <w:r w:rsidR="008416EE" w:rsidRPr="007F5499">
        <w:rPr>
          <w:rFonts w:ascii="Times New Roman" w:hAnsi="Times New Roman" w:cs="Times New Roman"/>
          <w:sz w:val="24"/>
          <w:szCs w:val="24"/>
        </w:rPr>
        <w:t xml:space="preserve"> managerial measures do not suffice (Bouckaert et al. 2020; Mathis 2014). Any administrative conduct is legally determined since these affairs unilaterally affect citizens to primarily protect </w:t>
      </w:r>
      <w:r w:rsidR="00B8584D" w:rsidRPr="007F5499">
        <w:rPr>
          <w:rFonts w:ascii="Times New Roman" w:eastAsia="Calibri" w:hAnsi="Times New Roman" w:cs="Times New Roman"/>
          <w:sz w:val="24"/>
          <w:szCs w:val="24"/>
        </w:rPr>
        <w:t xml:space="preserve">the </w:t>
      </w:r>
      <w:r w:rsidR="008416EE" w:rsidRPr="007F5499">
        <w:rPr>
          <w:rFonts w:ascii="Times New Roman" w:hAnsi="Times New Roman" w:cs="Times New Roman"/>
          <w:sz w:val="24"/>
          <w:szCs w:val="24"/>
        </w:rPr>
        <w:t xml:space="preserve">public interest of the community. Moreover, the role of legislation is especially important for local entities that are obliged to equally implement national law. Inspired by the observation of </w:t>
      </w:r>
      <w:proofErr w:type="spellStart"/>
      <w:r w:rsidR="008416EE" w:rsidRPr="007F5499">
        <w:rPr>
          <w:rFonts w:ascii="Times New Roman" w:hAnsi="Times New Roman" w:cs="Times New Roman"/>
          <w:sz w:val="24"/>
          <w:szCs w:val="24"/>
        </w:rPr>
        <w:t>Dzigbede</w:t>
      </w:r>
      <w:proofErr w:type="spellEnd"/>
      <w:r w:rsidR="008416EE" w:rsidRPr="007F5499">
        <w:rPr>
          <w:rFonts w:ascii="Times New Roman" w:hAnsi="Times New Roman" w:cs="Times New Roman"/>
          <w:sz w:val="24"/>
          <w:szCs w:val="24"/>
        </w:rPr>
        <w:t xml:space="preserve"> et al. (2020) that “the list of executive orders issued by governors in response to the virus is </w:t>
      </w:r>
      <w:proofErr w:type="spellStart"/>
      <w:r w:rsidR="008416EE" w:rsidRPr="007F5499">
        <w:rPr>
          <w:rFonts w:ascii="Times New Roman" w:hAnsi="Times New Roman" w:cs="Times New Roman"/>
          <w:sz w:val="24"/>
          <w:szCs w:val="24"/>
        </w:rPr>
        <w:t>breathtaking</w:t>
      </w:r>
      <w:proofErr w:type="spellEnd"/>
      <w:r w:rsidR="008416EE" w:rsidRPr="007F5499">
        <w:rPr>
          <w:rFonts w:ascii="Times New Roman" w:hAnsi="Times New Roman" w:cs="Times New Roman"/>
          <w:sz w:val="24"/>
          <w:szCs w:val="24"/>
        </w:rPr>
        <w:t>”</w:t>
      </w:r>
      <w:r w:rsidR="00B8584D" w:rsidRPr="007F5499">
        <w:rPr>
          <w:rFonts w:ascii="Times New Roman" w:eastAsia="Calibri" w:hAnsi="Times New Roman" w:cs="Times New Roman"/>
          <w:sz w:val="24"/>
          <w:szCs w:val="24"/>
        </w:rPr>
        <w:t>,</w:t>
      </w:r>
      <w:r w:rsidR="008416EE" w:rsidRPr="007F5499">
        <w:rPr>
          <w:rFonts w:ascii="Times New Roman" w:hAnsi="Times New Roman" w:cs="Times New Roman"/>
          <w:sz w:val="24"/>
          <w:szCs w:val="24"/>
        </w:rPr>
        <w:t xml:space="preserve"> we asked the following question: </w:t>
      </w:r>
      <w:r w:rsidR="008416EE" w:rsidRPr="007F5499">
        <w:rPr>
          <w:rFonts w:ascii="Times New Roman" w:hAnsi="Times New Roman" w:cs="Times New Roman"/>
          <w:i/>
          <w:sz w:val="24"/>
          <w:szCs w:val="24"/>
        </w:rPr>
        <w:t>During the pandemic period, compared to normal operations, please estimate the following characteristics of legislation, guidelines and instructions (measures) defining the competences of the administrative unit: (a) inconsistency across areas/ministries [</w:t>
      </w:r>
      <w:proofErr w:type="spellStart"/>
      <w:r w:rsidR="008416EE" w:rsidRPr="007F5499">
        <w:rPr>
          <w:rFonts w:ascii="Times New Roman" w:hAnsi="Times New Roman" w:cs="Times New Roman"/>
          <w:i/>
          <w:sz w:val="24"/>
          <w:szCs w:val="24"/>
        </w:rPr>
        <w:t>NL_a</w:t>
      </w:r>
      <w:proofErr w:type="spellEnd"/>
      <w:r w:rsidR="008416EE" w:rsidRPr="007F5499">
        <w:rPr>
          <w:rFonts w:ascii="Times New Roman" w:hAnsi="Times New Roman" w:cs="Times New Roman"/>
          <w:i/>
          <w:sz w:val="24"/>
          <w:szCs w:val="24"/>
        </w:rPr>
        <w:t>], (b) speed of adoption or enforcement [</w:t>
      </w:r>
      <w:proofErr w:type="spellStart"/>
      <w:r w:rsidR="008416EE" w:rsidRPr="007F5499">
        <w:rPr>
          <w:rFonts w:ascii="Times New Roman" w:hAnsi="Times New Roman" w:cs="Times New Roman"/>
          <w:i/>
          <w:sz w:val="24"/>
          <w:szCs w:val="24"/>
        </w:rPr>
        <w:t>NL_b</w:t>
      </w:r>
      <w:proofErr w:type="spellEnd"/>
      <w:r w:rsidR="008416EE" w:rsidRPr="007F5499">
        <w:rPr>
          <w:rFonts w:ascii="Times New Roman" w:hAnsi="Times New Roman" w:cs="Times New Roman"/>
          <w:i/>
          <w:sz w:val="24"/>
          <w:szCs w:val="24"/>
        </w:rPr>
        <w:t>], and (c) abundant quantity – volume [NL_c].</w:t>
      </w:r>
    </w:p>
    <w:p w14:paraId="4292FA35" w14:textId="0DCA8ABB" w:rsidR="00397578"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For a governmental context</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effectiveness is defined as “a measure of the quality of [an]… output: how well did it achieve the desired outcome?” (Osborne and </w:t>
      </w:r>
      <w:proofErr w:type="spellStart"/>
      <w:r w:rsidRPr="007F5499">
        <w:rPr>
          <w:rFonts w:ascii="Times New Roman" w:hAnsi="Times New Roman" w:cs="Times New Roman"/>
          <w:sz w:val="24"/>
          <w:szCs w:val="24"/>
        </w:rPr>
        <w:t>Gaebler</w:t>
      </w:r>
      <w:proofErr w:type="spellEnd"/>
      <w:r w:rsidRPr="007F5499">
        <w:rPr>
          <w:rFonts w:ascii="Times New Roman" w:hAnsi="Times New Roman" w:cs="Times New Roman"/>
          <w:sz w:val="24"/>
          <w:szCs w:val="24"/>
        </w:rPr>
        <w:t xml:space="preserve"> 1992, p. 351). We operationalized (compared to Kovač et al. 2016, for instance) the </w:t>
      </w:r>
      <w:r w:rsidRPr="007F5499">
        <w:rPr>
          <w:rFonts w:ascii="Times New Roman" w:hAnsi="Times New Roman" w:cs="Times New Roman"/>
          <w:i/>
          <w:sz w:val="24"/>
          <w:szCs w:val="24"/>
        </w:rPr>
        <w:t>effectiveness</w:t>
      </w:r>
      <w:r w:rsidRPr="007F5499">
        <w:rPr>
          <w:rFonts w:ascii="Times New Roman" w:hAnsi="Times New Roman" w:cs="Times New Roman"/>
          <w:sz w:val="24"/>
          <w:szCs w:val="24"/>
        </w:rPr>
        <w:t xml:space="preserve"> construct by asking about short term-oriented positive consequences accelerated by the COVID-19 situation for the administra</w:t>
      </w:r>
      <w:r w:rsidRPr="007F5499">
        <w:rPr>
          <w:rFonts w:ascii="Times New Roman" w:hAnsi="Times New Roman" w:cs="Times New Roman"/>
          <w:sz w:val="24"/>
          <w:szCs w:val="24"/>
        </w:rPr>
        <w:softHyphen/>
        <w:t xml:space="preserve">tions’ employees (digital competence, employee protection), the local administrations’ working processes (more efficient meetings, time savings) and “customers” (parties) (more digitalized and therefore faster-working processes, more completed tasks). </w:t>
      </w:r>
      <w:r w:rsidRPr="007F5499">
        <w:rPr>
          <w:rFonts w:ascii="Times New Roman" w:eastAsia="Calibri" w:hAnsi="Times New Roman" w:cs="Times New Roman"/>
          <w:sz w:val="24"/>
          <w:szCs w:val="24"/>
        </w:rPr>
        <w:t>In doing</w:t>
      </w:r>
      <w:r w:rsidRPr="007F5499">
        <w:rPr>
          <w:rFonts w:ascii="Times New Roman" w:hAnsi="Times New Roman" w:cs="Times New Roman"/>
          <w:sz w:val="24"/>
          <w:szCs w:val="24"/>
        </w:rPr>
        <w:t xml:space="preserve"> so</w:t>
      </w:r>
      <w:r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we address the specific quality aspects of governance output on a local level. We, therefore, asked the following question: </w:t>
      </w:r>
      <w:r w:rsidRPr="007F5499">
        <w:rPr>
          <w:rFonts w:ascii="Times New Roman" w:hAnsi="Times New Roman" w:cs="Times New Roman"/>
          <w:i/>
          <w:sz w:val="24"/>
          <w:szCs w:val="24"/>
        </w:rPr>
        <w:t>During the pandemic period, compared to normal operations, please estimate your perception of the employees’ opinions regarding the following positive consequences of the pandemic: (a) opportunity to digitize work processes - faster and more efficiently than in a normal situation [E_a], (b) opportunity to learn to use new digital communication tools (e.g., Zoom, MS Teams) [E_b], (c) opportunity to complete tasks that would have been difficult to complete in the previous situation [</w:t>
      </w:r>
      <w:proofErr w:type="spellStart"/>
      <w:r w:rsidRPr="007F5499">
        <w:rPr>
          <w:rFonts w:ascii="Times New Roman" w:hAnsi="Times New Roman" w:cs="Times New Roman"/>
          <w:i/>
          <w:sz w:val="24"/>
          <w:szCs w:val="24"/>
        </w:rPr>
        <w:t>E_c</w:t>
      </w:r>
      <w:proofErr w:type="spellEnd"/>
      <w:r w:rsidRPr="007F5499">
        <w:rPr>
          <w:rFonts w:ascii="Times New Roman" w:hAnsi="Times New Roman" w:cs="Times New Roman"/>
          <w:i/>
          <w:sz w:val="24"/>
          <w:szCs w:val="24"/>
        </w:rPr>
        <w:t>], (d) having time to improve work processes [</w:t>
      </w:r>
      <w:proofErr w:type="spellStart"/>
      <w:r w:rsidRPr="007F5499">
        <w:rPr>
          <w:rFonts w:ascii="Times New Roman" w:hAnsi="Times New Roman" w:cs="Times New Roman"/>
          <w:i/>
          <w:sz w:val="24"/>
          <w:szCs w:val="24"/>
        </w:rPr>
        <w:t>E_d</w:t>
      </w:r>
      <w:proofErr w:type="spellEnd"/>
      <w:r w:rsidRPr="007F5499">
        <w:rPr>
          <w:rFonts w:ascii="Times New Roman" w:hAnsi="Times New Roman" w:cs="Times New Roman"/>
          <w:i/>
          <w:sz w:val="24"/>
          <w:szCs w:val="24"/>
        </w:rPr>
        <w:t>], (e) more efficient meetings through digital communication channels [</w:t>
      </w:r>
      <w:proofErr w:type="spellStart"/>
      <w:r w:rsidRPr="007F5499">
        <w:rPr>
          <w:rFonts w:ascii="Times New Roman" w:hAnsi="Times New Roman" w:cs="Times New Roman"/>
          <w:i/>
          <w:sz w:val="24"/>
          <w:szCs w:val="24"/>
        </w:rPr>
        <w:t>E_e</w:t>
      </w:r>
      <w:proofErr w:type="spellEnd"/>
      <w:r w:rsidRPr="007F5499">
        <w:rPr>
          <w:rFonts w:ascii="Times New Roman" w:hAnsi="Times New Roman" w:cs="Times New Roman"/>
          <w:i/>
          <w:sz w:val="24"/>
          <w:szCs w:val="24"/>
        </w:rPr>
        <w:t>], (f) awareness of the importance of workplace health promotion [E_f], and (g) awareness of the importance of protection for older employees and risk groups when organizing work [E_g].</w:t>
      </w:r>
      <w:r w:rsidRPr="007F5499">
        <w:rPr>
          <w:rFonts w:ascii="Times New Roman" w:hAnsi="Times New Roman" w:cs="Times New Roman"/>
          <w:sz w:val="24"/>
          <w:szCs w:val="24"/>
        </w:rPr>
        <w:t xml:space="preserve"> </w:t>
      </w:r>
    </w:p>
    <w:p w14:paraId="1B958B6A" w14:textId="7821DDBC" w:rsidR="00D9159F"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The hypotheses of our study assume cause and effect relationships. Structural equation models (</w:t>
      </w:r>
      <w:r w:rsidR="00B8584D" w:rsidRPr="007F5499">
        <w:rPr>
          <w:rFonts w:ascii="Times New Roman" w:eastAsia="Calibri" w:hAnsi="Times New Roman" w:cs="Times New Roman"/>
          <w:sz w:val="24"/>
          <w:szCs w:val="24"/>
        </w:rPr>
        <w:t>SEMs</w:t>
      </w:r>
      <w:r w:rsidRPr="007F5499">
        <w:rPr>
          <w:rFonts w:ascii="Times New Roman" w:hAnsi="Times New Roman" w:cs="Times New Roman"/>
          <w:sz w:val="24"/>
          <w:szCs w:val="24"/>
        </w:rPr>
        <w:t xml:space="preserve">) display such cause and effect relationships by showing the assumed relationships between latent constructs. SEMs allow the empirical testing of a causal model. To test complex models with direct and indirect effects and analyse collected data, Hair et al. (2017) </w:t>
      </w:r>
      <w:r w:rsidR="00B8584D" w:rsidRPr="007F5499">
        <w:rPr>
          <w:rFonts w:ascii="Times New Roman" w:eastAsia="Calibri" w:hAnsi="Times New Roman" w:cs="Times New Roman"/>
          <w:sz w:val="24"/>
          <w:szCs w:val="24"/>
        </w:rPr>
        <w:t>proposed</w:t>
      </w:r>
      <w:r w:rsidRPr="007F5499">
        <w:rPr>
          <w:rFonts w:ascii="Times New Roman" w:hAnsi="Times New Roman" w:cs="Times New Roman"/>
          <w:sz w:val="24"/>
          <w:szCs w:val="24"/>
        </w:rPr>
        <w:t xml:space="preserve"> </w:t>
      </w:r>
      <w:r w:rsidRPr="007F5499">
        <w:rPr>
          <w:rFonts w:ascii="Times New Roman" w:hAnsi="Times New Roman" w:cs="Times New Roman"/>
          <w:sz w:val="24"/>
          <w:szCs w:val="24"/>
        </w:rPr>
        <w:lastRenderedPageBreak/>
        <w:t xml:space="preserve">the use of partial least squares structural equation </w:t>
      </w:r>
      <w:r w:rsidR="00244A30" w:rsidRPr="007F5499">
        <w:rPr>
          <w:rFonts w:ascii="Times New Roman" w:eastAsia="Calibri" w:hAnsi="Times New Roman" w:cs="Times New Roman"/>
          <w:sz w:val="24"/>
          <w:szCs w:val="24"/>
        </w:rPr>
        <w:t>modelling</w:t>
      </w:r>
      <w:r w:rsidRPr="007F5499">
        <w:rPr>
          <w:rFonts w:ascii="Times New Roman" w:hAnsi="Times New Roman" w:cs="Times New Roman"/>
          <w:sz w:val="24"/>
          <w:szCs w:val="24"/>
        </w:rPr>
        <w:t xml:space="preserve"> (PLS-SEM). PLS-SEM is a variance-based approach of structural equation modelling. It allows the </w:t>
      </w:r>
      <w:r w:rsidR="00B8584D" w:rsidRPr="007F5499">
        <w:rPr>
          <w:rFonts w:ascii="Times New Roman" w:eastAsia="Calibri" w:hAnsi="Times New Roman" w:cs="Times New Roman"/>
          <w:sz w:val="24"/>
          <w:szCs w:val="24"/>
        </w:rPr>
        <w:t>simultaneous</w:t>
      </w:r>
      <w:r w:rsidRPr="007F5499">
        <w:rPr>
          <w:rFonts w:ascii="Times New Roman" w:hAnsi="Times New Roman" w:cs="Times New Roman"/>
          <w:sz w:val="24"/>
          <w:szCs w:val="24"/>
        </w:rPr>
        <w:t xml:space="preserve"> estimation of construct measurements and structural path relationships. Accordingly, we use PLS-SEM to analyse our data and test the research model (see Figure 1).</w:t>
      </w:r>
    </w:p>
    <w:p w14:paraId="531211E9" w14:textId="37FA195B" w:rsidR="00900E41"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respondents in our survey used the full range of possible responses from “significantly </w:t>
      </w:r>
      <w:r w:rsidRPr="007F5499">
        <w:rPr>
          <w:rFonts w:ascii="Times New Roman" w:eastAsia="Calibri" w:hAnsi="Times New Roman" w:cs="Times New Roman"/>
          <w:sz w:val="24"/>
          <w:szCs w:val="24"/>
        </w:rPr>
        <w:t>smaller” to</w:t>
      </w:r>
      <w:r w:rsidRPr="007F5499">
        <w:rPr>
          <w:rFonts w:ascii="Times New Roman" w:hAnsi="Times New Roman" w:cs="Times New Roman"/>
          <w:sz w:val="24"/>
          <w:szCs w:val="24"/>
        </w:rPr>
        <w:t xml:space="preserve"> “significantly higher” (1 to 5), which indicated the great difference perceived by the participants. The required sample size for detecting statistical power of at least 0.8 at an α-level of 0.05 is 77 (Nitzl, 2016). Thus, with a sample size of 610, the relevant effects can be detected in our research model.</w:t>
      </w:r>
    </w:p>
    <w:p w14:paraId="7745FE85" w14:textId="77777777" w:rsidR="00D87058" w:rsidRPr="007F5499" w:rsidRDefault="00D87058" w:rsidP="006656B2">
      <w:pPr>
        <w:pStyle w:val="berschrift1"/>
        <w:spacing w:line="240" w:lineRule="auto"/>
        <w:jc w:val="both"/>
        <w:rPr>
          <w:rFonts w:ascii="Times New Roman" w:hAnsi="Times New Roman" w:cs="Times New Roman"/>
          <w:b/>
          <w:color w:val="auto"/>
          <w:sz w:val="24"/>
          <w:szCs w:val="24"/>
        </w:rPr>
      </w:pPr>
    </w:p>
    <w:p w14:paraId="53421D37" w14:textId="77777777" w:rsidR="006D30A7" w:rsidRPr="007F5499" w:rsidRDefault="00066F6D" w:rsidP="006656B2">
      <w:pPr>
        <w:pStyle w:val="berschrift1"/>
        <w:spacing w:line="240" w:lineRule="auto"/>
        <w:jc w:val="both"/>
        <w:rPr>
          <w:rFonts w:ascii="Times New Roman" w:hAnsi="Times New Roman" w:cs="Times New Roman"/>
          <w:b/>
          <w:sz w:val="24"/>
          <w:szCs w:val="24"/>
        </w:rPr>
      </w:pPr>
      <w:r w:rsidRPr="007F5499">
        <w:rPr>
          <w:rFonts w:ascii="Times New Roman" w:hAnsi="Times New Roman" w:cs="Times New Roman"/>
          <w:b/>
          <w:color w:val="auto"/>
          <w:sz w:val="24"/>
          <w:szCs w:val="24"/>
        </w:rPr>
        <w:t>4 Results</w:t>
      </w:r>
    </w:p>
    <w:p w14:paraId="2A67AC36" w14:textId="77777777" w:rsidR="0012154C" w:rsidRPr="007F5499" w:rsidRDefault="0012154C" w:rsidP="006656B2">
      <w:pPr>
        <w:spacing w:line="240" w:lineRule="auto"/>
        <w:jc w:val="both"/>
        <w:rPr>
          <w:rFonts w:ascii="Times New Roman" w:hAnsi="Times New Roman" w:cs="Times New Roman"/>
          <w:sz w:val="24"/>
          <w:szCs w:val="24"/>
        </w:rPr>
      </w:pPr>
      <w:bookmarkStart w:id="0" w:name="_Toc53227164"/>
    </w:p>
    <w:p w14:paraId="6646564D" w14:textId="5E919C6D" w:rsidR="00DE32CC"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A SEM includes two parts: an outer measurement model and an inner path model. Latent variables, also known as constructs, are “the (unobservable) theoretical or conceptual elements in the structural model” (Hair et al. 2017). Constructs consist of a certain set of indicators</w:t>
      </w:r>
      <w:r w:rsidRPr="007F5499">
        <w:rPr>
          <w:rFonts w:ascii="Times New Roman" w:eastAsia="Calibri" w:hAnsi="Times New Roman" w:cs="Times New Roman"/>
          <w:sz w:val="24"/>
          <w:szCs w:val="24"/>
        </w:rPr>
        <w:t>, such as</w:t>
      </w:r>
      <w:r w:rsidRPr="007F5499">
        <w:rPr>
          <w:rFonts w:ascii="Times New Roman" w:hAnsi="Times New Roman" w:cs="Times New Roman"/>
          <w:sz w:val="24"/>
          <w:szCs w:val="24"/>
        </w:rPr>
        <w:t xml:space="preserve"> questions from a questionnaire. Arrows connect the indicators with their respective </w:t>
      </w:r>
      <w:r w:rsidRPr="007F5499">
        <w:rPr>
          <w:rFonts w:ascii="Times New Roman" w:eastAsia="Calibri" w:hAnsi="Times New Roman" w:cs="Times New Roman"/>
          <w:sz w:val="24"/>
          <w:szCs w:val="24"/>
        </w:rPr>
        <w:t>constructs</w:t>
      </w:r>
      <w:r w:rsidRPr="007F5499">
        <w:rPr>
          <w:rFonts w:ascii="Times New Roman" w:hAnsi="Times New Roman" w:cs="Times New Roman"/>
          <w:sz w:val="24"/>
          <w:szCs w:val="24"/>
        </w:rPr>
        <w:t>, and the direction of the arrow shows their relationship (reflective vs. formative). These connections construct the measurement model (indicator – construct). The assumed relationships between the constructs make up the path model (Hair et al. 2017; Hair et al., 2019). The evaluation of the SEM follows a two-step approach. The first step includes the evaluation of the reliability and validity of a measurement model. This is the prerequisite for the second step. In the second step, the path model is analysed.</w:t>
      </w:r>
    </w:p>
    <w:p w14:paraId="3369BB23" w14:textId="6F5E6E87" w:rsidR="00DE32CC"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In the research model</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only reflective measurements are used. Therefore, we used </w:t>
      </w:r>
      <w:r w:rsidR="00B8584D" w:rsidRPr="007F5499">
        <w:rPr>
          <w:rFonts w:ascii="Times New Roman" w:eastAsia="Calibri" w:hAnsi="Times New Roman" w:cs="Times New Roman"/>
          <w:sz w:val="24"/>
          <w:szCs w:val="24"/>
        </w:rPr>
        <w:t xml:space="preserve">Cronbach’s </w:t>
      </w:r>
      <w:r w:rsidR="00BC7463" w:rsidRPr="007F5499">
        <w:rPr>
          <w:rFonts w:ascii="Times New Roman" w:hAnsi="Times New Roman" w:cs="Times New Roman"/>
          <w:sz w:val="24"/>
          <w:szCs w:val="24"/>
        </w:rPr>
        <w:t>α</w:t>
      </w:r>
      <w:r w:rsidR="00B8584D" w:rsidRPr="007F5499">
        <w:rPr>
          <w:rFonts w:ascii="Times New Roman" w:eastAsia="Calibri" w:hAnsi="Times New Roman" w:cs="Times New Roman"/>
          <w:sz w:val="24"/>
          <w:szCs w:val="24"/>
        </w:rPr>
        <w:t>, composite reliability, AVE and HTMT to evaluate</w:t>
      </w:r>
      <w:r w:rsidRPr="007F5499">
        <w:rPr>
          <w:rFonts w:ascii="Times New Roman" w:hAnsi="Times New Roman" w:cs="Times New Roman"/>
          <w:sz w:val="24"/>
          <w:szCs w:val="24"/>
        </w:rPr>
        <w:t xml:space="preserve"> the reliability and validity of the measurement model</w:t>
      </w:r>
      <w:r w:rsidR="00B8584D" w:rsidRPr="007F5499">
        <w:rPr>
          <w:rFonts w:ascii="Times New Roman" w:eastAsia="Calibri" w:hAnsi="Times New Roman" w:cs="Times New Roman"/>
          <w:sz w:val="24"/>
          <w:szCs w:val="24"/>
        </w:rPr>
        <w:t xml:space="preserve"> </w:t>
      </w:r>
      <w:r w:rsidRPr="007F5499">
        <w:rPr>
          <w:rFonts w:ascii="Times New Roman" w:hAnsi="Times New Roman" w:cs="Times New Roman"/>
          <w:sz w:val="24"/>
          <w:szCs w:val="24"/>
        </w:rPr>
        <w:t xml:space="preserve">(Hair et al. 2020). Items whose loadings were too low were </w:t>
      </w:r>
      <w:r w:rsidR="00B8584D" w:rsidRPr="007F5499">
        <w:rPr>
          <w:rFonts w:ascii="Times New Roman" w:eastAsia="Calibri" w:hAnsi="Times New Roman" w:cs="Times New Roman"/>
          <w:sz w:val="24"/>
          <w:szCs w:val="24"/>
        </w:rPr>
        <w:t>dropped</w:t>
      </w:r>
      <w:r w:rsidRPr="007F5499">
        <w:rPr>
          <w:rFonts w:ascii="Times New Roman" w:hAnsi="Times New Roman" w:cs="Times New Roman"/>
          <w:sz w:val="24"/>
          <w:szCs w:val="24"/>
        </w:rPr>
        <w:t xml:space="preserve"> from the calculations; this was possible because the measurements are reflective. Table 2 shows that the adjusted constructs met all quality criteria, with one exception. The values for all loadings were above the critical value of 0.708.</w:t>
      </w:r>
      <w:r w:rsidR="00B8584D" w:rsidRPr="007F5499">
        <w:rPr>
          <w:rFonts w:ascii="Times New Roman" w:eastAsia="Calibri" w:hAnsi="Times New Roman" w:cs="Times New Roman"/>
          <w:sz w:val="24"/>
          <w:szCs w:val="24"/>
        </w:rPr>
        <w:t xml:space="preserve"> The</w:t>
      </w:r>
      <w:r w:rsidRPr="007F5499">
        <w:rPr>
          <w:rFonts w:ascii="Times New Roman" w:hAnsi="Times New Roman" w:cs="Times New Roman"/>
          <w:sz w:val="24"/>
          <w:szCs w:val="24"/>
        </w:rPr>
        <w:t xml:space="preserve"> AVEs for each construct </w:t>
      </w:r>
      <w:r w:rsidR="00B8584D" w:rsidRPr="007F5499">
        <w:rPr>
          <w:rFonts w:ascii="Times New Roman" w:eastAsia="Calibri" w:hAnsi="Times New Roman" w:cs="Times New Roman"/>
          <w:sz w:val="24"/>
          <w:szCs w:val="24"/>
        </w:rPr>
        <w:t>were</w:t>
      </w:r>
      <w:r w:rsidRPr="007F5499">
        <w:rPr>
          <w:rFonts w:ascii="Times New Roman" w:hAnsi="Times New Roman" w:cs="Times New Roman"/>
          <w:sz w:val="24"/>
          <w:szCs w:val="24"/>
        </w:rPr>
        <w:t xml:space="preserve"> all above the critical value of 0.5</w:t>
      </w:r>
      <w:r w:rsidR="00B8584D" w:rsidRPr="007F5499">
        <w:rPr>
          <w:rFonts w:ascii="Times New Roman" w:eastAsia="Calibri" w:hAnsi="Times New Roman" w:cs="Times New Roman"/>
          <w:sz w:val="24"/>
          <w:szCs w:val="24"/>
        </w:rPr>
        <w:t>, and all composite reliability values were</w:t>
      </w:r>
      <w:r w:rsidRPr="007F5499">
        <w:rPr>
          <w:rFonts w:ascii="Times New Roman" w:hAnsi="Times New Roman" w:cs="Times New Roman"/>
          <w:sz w:val="24"/>
          <w:szCs w:val="24"/>
        </w:rPr>
        <w:t xml:space="preserve"> above the critical </w:t>
      </w:r>
      <w:r w:rsidR="00B8584D" w:rsidRPr="007F5499">
        <w:rPr>
          <w:rFonts w:ascii="Times New Roman" w:eastAsia="Calibri" w:hAnsi="Times New Roman" w:cs="Times New Roman"/>
          <w:sz w:val="24"/>
          <w:szCs w:val="24"/>
        </w:rPr>
        <w:t>value</w:t>
      </w:r>
      <w:r w:rsidRPr="007F5499">
        <w:rPr>
          <w:rFonts w:ascii="Times New Roman" w:hAnsi="Times New Roman" w:cs="Times New Roman"/>
          <w:sz w:val="24"/>
          <w:szCs w:val="24"/>
        </w:rPr>
        <w:t xml:space="preserve"> of 0.7. Just the Cronbach’s </w:t>
      </w:r>
      <w:r w:rsidR="00B8584D" w:rsidRPr="007F5499">
        <w:rPr>
          <w:rFonts w:ascii="Times New Roman" w:eastAsia="Calibri" w:hAnsi="Times New Roman" w:cs="Times New Roman"/>
          <w:sz w:val="24"/>
          <w:szCs w:val="24"/>
        </w:rPr>
        <w:t>alpha</w:t>
      </w:r>
      <w:r w:rsidRPr="007F5499">
        <w:rPr>
          <w:rFonts w:ascii="Times New Roman" w:hAnsi="Times New Roman" w:cs="Times New Roman"/>
          <w:sz w:val="24"/>
          <w:szCs w:val="24"/>
        </w:rPr>
        <w:t xml:space="preserve"> for the construct “new laws” was below the value of 0.7. As Cronbach’s </w:t>
      </w:r>
      <w:r w:rsidR="00B8584D" w:rsidRPr="007F5499">
        <w:rPr>
          <w:rFonts w:ascii="Times New Roman" w:eastAsia="Calibri" w:hAnsi="Times New Roman" w:cs="Times New Roman"/>
          <w:sz w:val="24"/>
          <w:szCs w:val="24"/>
        </w:rPr>
        <w:t>alpha</w:t>
      </w:r>
      <w:r w:rsidRPr="007F5499">
        <w:rPr>
          <w:rFonts w:ascii="Times New Roman" w:hAnsi="Times New Roman" w:cs="Times New Roman"/>
          <w:sz w:val="24"/>
          <w:szCs w:val="24"/>
        </w:rPr>
        <w:t xml:space="preserve"> generally underestimates internal consistency reliability in PLS-SEM, composite reliability provides a more appropriate measure in a PLS-SEM context (Nitzl 2016; Werts et al. 1974). </w:t>
      </w:r>
      <w:r w:rsidRPr="007F5499">
        <w:rPr>
          <w:rFonts w:ascii="Times New Roman" w:hAnsi="Times New Roman" w:cs="Times New Roman"/>
          <w:sz w:val="24"/>
          <w:szCs w:val="24"/>
        </w:rPr>
        <w:lastRenderedPageBreak/>
        <w:t>Finally, HTMT indicated that all construct measurements are discriminant. Overall, all construct measurements in the research model are reliable and valid.</w:t>
      </w:r>
    </w:p>
    <w:p w14:paraId="7A3D0E85" w14:textId="77777777" w:rsidR="0012081A" w:rsidRPr="007F5499" w:rsidRDefault="0012081A" w:rsidP="00B341EF">
      <w:pPr>
        <w:spacing w:line="360" w:lineRule="auto"/>
        <w:jc w:val="both"/>
        <w:rPr>
          <w:rFonts w:ascii="Times New Roman" w:hAnsi="Times New Roman" w:cs="Times New Roman"/>
          <w:sz w:val="24"/>
          <w:szCs w:val="24"/>
        </w:rPr>
      </w:pPr>
    </w:p>
    <w:p w14:paraId="1362F83C" w14:textId="77777777" w:rsidR="00C21CA2" w:rsidRPr="007F5499" w:rsidRDefault="00066F6D" w:rsidP="006656B2">
      <w:pPr>
        <w:spacing w:line="240" w:lineRule="auto"/>
        <w:jc w:val="both"/>
        <w:rPr>
          <w:rFonts w:ascii="Times New Roman" w:hAnsi="Times New Roman" w:cs="Times New Roman"/>
          <w:i/>
          <w:sz w:val="24"/>
          <w:szCs w:val="24"/>
        </w:rPr>
      </w:pPr>
      <w:r w:rsidRPr="007F5499">
        <w:rPr>
          <w:rFonts w:ascii="Times New Roman" w:hAnsi="Times New Roman" w:cs="Times New Roman"/>
          <w:i/>
          <w:sz w:val="24"/>
          <w:szCs w:val="24"/>
        </w:rPr>
        <w:t>Table 2: Evaluation of the constructs.</w:t>
      </w:r>
      <w:bookmarkEnd w:id="0"/>
      <w:r w:rsidRPr="007F5499">
        <w:rPr>
          <w:rFonts w:ascii="Times New Roman" w:hAnsi="Times New Roman" w:cs="Times New Roman"/>
          <w:i/>
          <w:sz w:val="24"/>
          <w:szCs w:val="24"/>
        </w:rPr>
        <w:t xml:space="preserve"> </w:t>
      </w:r>
    </w:p>
    <w:tbl>
      <w:tblPr>
        <w:tblW w:w="8354" w:type="dxa"/>
        <w:tblCellMar>
          <w:left w:w="0" w:type="dxa"/>
          <w:right w:w="0" w:type="dxa"/>
        </w:tblCellMar>
        <w:tblLook w:val="04A0" w:firstRow="1" w:lastRow="0" w:firstColumn="1" w:lastColumn="0" w:noHBand="0" w:noVBand="1"/>
      </w:tblPr>
      <w:tblGrid>
        <w:gridCol w:w="1665"/>
        <w:gridCol w:w="1088"/>
        <w:gridCol w:w="1065"/>
        <w:gridCol w:w="739"/>
        <w:gridCol w:w="1221"/>
        <w:gridCol w:w="1128"/>
        <w:gridCol w:w="1448"/>
      </w:tblGrid>
      <w:tr w:rsidR="00946E2E" w14:paraId="36A51CB3" w14:textId="77777777" w:rsidTr="008972BF">
        <w:trPr>
          <w:trHeight w:val="350"/>
        </w:trPr>
        <w:tc>
          <w:tcPr>
            <w:tcW w:w="16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56D9C946" w14:textId="77777777" w:rsidR="00C21CA2" w:rsidRPr="007F5499" w:rsidRDefault="00C21CA2" w:rsidP="006656B2">
            <w:pPr>
              <w:spacing w:after="0" w:line="240" w:lineRule="auto"/>
              <w:jc w:val="center"/>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7C0B5419" w14:textId="77777777" w:rsidR="00C21CA2" w:rsidRPr="007F5499" w:rsidRDefault="00C21CA2" w:rsidP="006656B2">
            <w:pPr>
              <w:spacing w:after="0" w:line="240" w:lineRule="auto"/>
              <w:jc w:val="center"/>
              <w:rPr>
                <w:rFonts w:ascii="Times New Roman" w:eastAsia="Times New Roman" w:hAnsi="Times New Roman" w:cs="Times New Roman"/>
                <w:sz w:val="24"/>
                <w:szCs w:val="24"/>
                <w:lang w:eastAsia="de-DE"/>
              </w:rPr>
            </w:pPr>
          </w:p>
        </w:tc>
        <w:tc>
          <w:tcPr>
            <w:tcW w:w="1804" w:type="dxa"/>
            <w:gridSpan w:val="2"/>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59A642D5"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lang w:eastAsia="de-DE"/>
              </w:rPr>
              <w:t>Convergent Validity</w:t>
            </w:r>
          </w:p>
        </w:tc>
        <w:tc>
          <w:tcPr>
            <w:tcW w:w="2349" w:type="dxa"/>
            <w:gridSpan w:val="2"/>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5A5EDA0A" w14:textId="77777777" w:rsidR="00C21CA2"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lang w:eastAsia="de-DE"/>
              </w:rPr>
              <w:t>Internal Consistency Reliability</w:t>
            </w:r>
          </w:p>
        </w:tc>
        <w:tc>
          <w:tcPr>
            <w:tcW w:w="144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03DFAAB9"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lang w:eastAsia="de-DE"/>
              </w:rPr>
              <w:t>Discriminant Validity</w:t>
            </w:r>
          </w:p>
        </w:tc>
      </w:tr>
      <w:tr w:rsidR="00946E2E" w14:paraId="087C5BA8" w14:textId="77777777" w:rsidTr="008972BF">
        <w:trPr>
          <w:trHeight w:val="601"/>
        </w:trPr>
        <w:tc>
          <w:tcPr>
            <w:tcW w:w="16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774AE048" w14:textId="77777777" w:rsidR="00C21CA2" w:rsidRPr="007F5499" w:rsidRDefault="00C21CA2" w:rsidP="006656B2">
            <w:pPr>
              <w:spacing w:after="0" w:line="240" w:lineRule="auto"/>
              <w:jc w:val="center"/>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0E8B2185"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b/>
                <w:bCs/>
                <w:color w:val="000000"/>
                <w:kern w:val="24"/>
                <w:sz w:val="24"/>
                <w:szCs w:val="24"/>
                <w:lang w:eastAsia="de-DE"/>
              </w:rPr>
              <w:t>Indicators</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0A91AC6F"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b/>
                <w:bCs/>
                <w:color w:val="000000"/>
                <w:kern w:val="24"/>
                <w:sz w:val="24"/>
                <w:szCs w:val="24"/>
                <w:lang w:eastAsia="de-DE"/>
              </w:rPr>
              <w:t>Loadings</w:t>
            </w:r>
          </w:p>
        </w:tc>
        <w:tc>
          <w:tcPr>
            <w:tcW w:w="739"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1190CBE2" w14:textId="77777777" w:rsidR="00C21CA2"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b/>
                <w:bCs/>
                <w:color w:val="000000"/>
                <w:kern w:val="24"/>
                <w:sz w:val="24"/>
                <w:szCs w:val="24"/>
                <w:lang w:eastAsia="de-DE"/>
              </w:rPr>
              <w:t>AVE</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7AEA615C" w14:textId="14C32735" w:rsidR="00C21CA2" w:rsidRPr="007F5499" w:rsidRDefault="00BC7463"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b/>
                <w:bCs/>
                <w:color w:val="000000"/>
                <w:kern w:val="24"/>
                <w:sz w:val="24"/>
                <w:szCs w:val="24"/>
                <w:lang w:eastAsia="de-DE"/>
              </w:rPr>
              <w:t>Cronbach’s α</w:t>
            </w:r>
          </w:p>
        </w:tc>
        <w:tc>
          <w:tcPr>
            <w:tcW w:w="112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0CA5F279"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b/>
                <w:bCs/>
                <w:color w:val="000000"/>
                <w:kern w:val="24"/>
                <w:sz w:val="24"/>
                <w:szCs w:val="24"/>
                <w:lang w:eastAsia="de-DE"/>
              </w:rPr>
              <w:t>Composite Reliability</w:t>
            </w:r>
          </w:p>
        </w:tc>
        <w:tc>
          <w:tcPr>
            <w:tcW w:w="144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5553BCBC" w14:textId="77777777" w:rsidR="00C21CA2" w:rsidRPr="007F5499" w:rsidRDefault="00066F6D" w:rsidP="00774DBF">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b/>
                <w:bCs/>
                <w:color w:val="000000"/>
                <w:kern w:val="24"/>
                <w:sz w:val="24"/>
                <w:szCs w:val="24"/>
                <w:lang w:eastAsia="de-DE"/>
              </w:rPr>
              <w:t>HTMT</w:t>
            </w:r>
          </w:p>
        </w:tc>
      </w:tr>
      <w:tr w:rsidR="00946E2E" w14:paraId="6DF69FE8" w14:textId="77777777" w:rsidTr="008972BF">
        <w:trPr>
          <w:trHeight w:val="493"/>
        </w:trPr>
        <w:tc>
          <w:tcPr>
            <w:tcW w:w="16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hideMark/>
          </w:tcPr>
          <w:p w14:paraId="25D4E9F7" w14:textId="77777777" w:rsidR="00C21CA2" w:rsidRPr="007F5499" w:rsidRDefault="00066F6D" w:rsidP="006656B2">
            <w:pPr>
              <w:spacing w:after="0" w:line="240" w:lineRule="auto"/>
              <w:jc w:val="center"/>
              <w:rPr>
                <w:rFonts w:ascii="Times New Roman" w:eastAsia="Times New Roman" w:hAnsi="Times New Roman" w:cs="Times New Roman"/>
                <w:b/>
                <w:sz w:val="24"/>
                <w:szCs w:val="24"/>
                <w:lang w:eastAsia="de-DE"/>
              </w:rPr>
            </w:pPr>
            <w:r w:rsidRPr="007F5499">
              <w:rPr>
                <w:rFonts w:ascii="Times New Roman" w:eastAsia="Calibri" w:hAnsi="Times New Roman" w:cs="Times New Roman"/>
                <w:b/>
                <w:iCs/>
                <w:color w:val="000000"/>
                <w:kern w:val="24"/>
                <w:sz w:val="24"/>
                <w:szCs w:val="24"/>
                <w:lang w:eastAsia="de-DE"/>
              </w:rPr>
              <w:t>Critical values</w:t>
            </w:r>
            <w:r w:rsidRPr="007F5499">
              <w:rPr>
                <w:rFonts w:ascii="Times New Roman" w:eastAsia="Calibri" w:hAnsi="Times New Roman" w:cs="Times New Roman"/>
                <w:b/>
                <w:iCs/>
                <w:color w:val="000000"/>
                <w:kern w:val="24"/>
                <w:sz w:val="24"/>
                <w:szCs w:val="24"/>
                <w:vertAlign w:val="superscript"/>
                <w:lang w:eastAsia="de-DE"/>
              </w:rPr>
              <w:t>1</w:t>
            </w: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74206977" w14:textId="77777777" w:rsidR="00C21CA2" w:rsidRPr="007F5499" w:rsidRDefault="00C21CA2" w:rsidP="006656B2">
            <w:pPr>
              <w:spacing w:after="0" w:line="240" w:lineRule="auto"/>
              <w:jc w:val="center"/>
              <w:rPr>
                <w:rFonts w:ascii="Times New Roman" w:eastAsia="Times New Roman" w:hAnsi="Times New Roman" w:cs="Times New Roman"/>
                <w:sz w:val="24"/>
                <w:szCs w:val="24"/>
                <w:lang w:eastAsia="de-DE"/>
              </w:rPr>
            </w:pP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hideMark/>
          </w:tcPr>
          <w:p w14:paraId="1A7AF80A"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i/>
                <w:iCs/>
                <w:color w:val="000000"/>
                <w:kern w:val="24"/>
                <w:sz w:val="24"/>
                <w:szCs w:val="24"/>
                <w:lang w:eastAsia="de-DE"/>
              </w:rPr>
              <w:t>&gt; 0.708</w:t>
            </w:r>
          </w:p>
        </w:tc>
        <w:tc>
          <w:tcPr>
            <w:tcW w:w="739"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hideMark/>
          </w:tcPr>
          <w:p w14:paraId="7A8A4A35" w14:textId="77777777" w:rsidR="00C21CA2"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i/>
                <w:iCs/>
                <w:color w:val="000000"/>
                <w:kern w:val="24"/>
                <w:sz w:val="24"/>
                <w:szCs w:val="24"/>
                <w:lang w:eastAsia="de-DE"/>
              </w:rPr>
              <w:t>&gt; 0.5</w:t>
            </w:r>
          </w:p>
        </w:tc>
        <w:tc>
          <w:tcPr>
            <w:tcW w:w="1221"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hideMark/>
          </w:tcPr>
          <w:p w14:paraId="264DC466"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i/>
                <w:iCs/>
                <w:color w:val="000000"/>
                <w:kern w:val="24"/>
                <w:sz w:val="24"/>
                <w:szCs w:val="24"/>
                <w:lang w:eastAsia="de-DE"/>
              </w:rPr>
              <w:t>&gt; 0.7</w:t>
            </w:r>
          </w:p>
        </w:tc>
        <w:tc>
          <w:tcPr>
            <w:tcW w:w="112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hideMark/>
          </w:tcPr>
          <w:p w14:paraId="10743B53"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i/>
                <w:iCs/>
                <w:color w:val="000000"/>
                <w:kern w:val="24"/>
                <w:sz w:val="24"/>
                <w:szCs w:val="24"/>
                <w:lang w:eastAsia="de-DE"/>
              </w:rPr>
              <w:t>&gt; 0.7</w:t>
            </w:r>
          </w:p>
        </w:tc>
        <w:tc>
          <w:tcPr>
            <w:tcW w:w="144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hideMark/>
          </w:tcPr>
          <w:p w14:paraId="56149074" w14:textId="77777777" w:rsidR="00C21CA2" w:rsidRPr="007F5499" w:rsidRDefault="00066F6D" w:rsidP="00774DBF">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lang w:eastAsia="de-DE"/>
              </w:rPr>
              <w:t>HTMT confidence interval does not include 1</w:t>
            </w:r>
          </w:p>
        </w:tc>
      </w:tr>
      <w:tr w:rsidR="00946E2E" w14:paraId="7DB627B6" w14:textId="77777777" w:rsidTr="008972BF">
        <w:trPr>
          <w:trHeight w:val="279"/>
        </w:trPr>
        <w:tc>
          <w:tcPr>
            <w:tcW w:w="1665" w:type="dxa"/>
            <w:vMerge w:val="restart"/>
            <w:tcBorders>
              <w:top w:val="single" w:sz="8" w:space="0" w:color="auto"/>
              <w:left w:val="single" w:sz="8" w:space="0" w:color="auto"/>
              <w:bottom w:val="single" w:sz="8" w:space="0" w:color="auto"/>
              <w:right w:val="single" w:sz="8" w:space="0" w:color="auto"/>
            </w:tcBorders>
            <w:vAlign w:val="center"/>
          </w:tcPr>
          <w:p w14:paraId="29618B75"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Digitalized communication</w:t>
            </w: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1E2FCADE" w14:textId="77777777" w:rsidR="00C21CA2" w:rsidRPr="007F5499" w:rsidRDefault="00066F6D" w:rsidP="006656B2">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DC_c</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2A866571"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0.775</w:t>
            </w:r>
          </w:p>
        </w:tc>
        <w:tc>
          <w:tcPr>
            <w:tcW w:w="739" w:type="dxa"/>
            <w:vMerge w:val="restart"/>
            <w:tcBorders>
              <w:top w:val="single" w:sz="8" w:space="0" w:color="auto"/>
              <w:left w:val="single" w:sz="8" w:space="0" w:color="auto"/>
              <w:bottom w:val="single" w:sz="8" w:space="0" w:color="auto"/>
              <w:right w:val="single" w:sz="8" w:space="0" w:color="auto"/>
            </w:tcBorders>
            <w:vAlign w:val="center"/>
          </w:tcPr>
          <w:p w14:paraId="00EE5BC6" w14:textId="77777777" w:rsidR="00C21CA2" w:rsidRPr="007F5499" w:rsidRDefault="00066F6D" w:rsidP="00050F74">
            <w:pPr>
              <w:spacing w:after="0" w:line="240" w:lineRule="auto"/>
              <w:jc w:val="center"/>
              <w:rPr>
                <w:rFonts w:ascii="Times New Roman" w:eastAsia="Calibri" w:hAnsi="Times New Roman" w:cs="Times New Roman"/>
                <w:color w:val="000000"/>
                <w:kern w:val="24"/>
                <w:sz w:val="24"/>
                <w:szCs w:val="24"/>
                <w:lang w:eastAsia="de-DE"/>
              </w:rPr>
            </w:pPr>
            <w:r w:rsidRPr="007F5499">
              <w:rPr>
                <w:rFonts w:ascii="Times New Roman" w:eastAsia="Calibri" w:hAnsi="Times New Roman" w:cs="Times New Roman"/>
                <w:color w:val="000000"/>
                <w:kern w:val="24"/>
                <w:sz w:val="24"/>
                <w:szCs w:val="24"/>
                <w:lang w:eastAsia="de-DE"/>
              </w:rPr>
              <w:t>0.631</w:t>
            </w:r>
          </w:p>
        </w:tc>
        <w:tc>
          <w:tcPr>
            <w:tcW w:w="1221" w:type="dxa"/>
            <w:vMerge w:val="restart"/>
            <w:tcBorders>
              <w:top w:val="single" w:sz="8" w:space="0" w:color="auto"/>
              <w:left w:val="single" w:sz="8" w:space="0" w:color="auto"/>
              <w:bottom w:val="single" w:sz="8" w:space="0" w:color="auto"/>
              <w:right w:val="single" w:sz="8" w:space="0" w:color="auto"/>
            </w:tcBorders>
            <w:vAlign w:val="center"/>
          </w:tcPr>
          <w:p w14:paraId="5343657D" w14:textId="77777777" w:rsidR="00C21CA2" w:rsidRPr="007F5499" w:rsidRDefault="00066F6D" w:rsidP="00E2113D">
            <w:pPr>
              <w:spacing w:after="0" w:line="240" w:lineRule="auto"/>
              <w:jc w:val="center"/>
              <w:rPr>
                <w:rFonts w:ascii="Times New Roman" w:eastAsia="Calibri" w:hAnsi="Times New Roman" w:cs="Times New Roman"/>
                <w:color w:val="000000"/>
                <w:kern w:val="24"/>
                <w:sz w:val="24"/>
                <w:szCs w:val="24"/>
                <w:lang w:eastAsia="de-DE"/>
              </w:rPr>
            </w:pPr>
            <w:r w:rsidRPr="007F5499">
              <w:rPr>
                <w:rFonts w:ascii="Times New Roman" w:eastAsia="Calibri" w:hAnsi="Times New Roman" w:cs="Times New Roman"/>
                <w:color w:val="000000"/>
                <w:kern w:val="24"/>
                <w:sz w:val="24"/>
                <w:szCs w:val="24"/>
                <w:lang w:eastAsia="de-DE"/>
              </w:rPr>
              <w:t>0.707</w:t>
            </w:r>
          </w:p>
        </w:tc>
        <w:tc>
          <w:tcPr>
            <w:tcW w:w="1128" w:type="dxa"/>
            <w:vMerge w:val="restart"/>
            <w:tcBorders>
              <w:top w:val="single" w:sz="8" w:space="0" w:color="auto"/>
              <w:left w:val="single" w:sz="8" w:space="0" w:color="auto"/>
              <w:bottom w:val="single" w:sz="8" w:space="0" w:color="auto"/>
              <w:right w:val="single" w:sz="8" w:space="0" w:color="auto"/>
            </w:tcBorders>
            <w:vAlign w:val="center"/>
          </w:tcPr>
          <w:p w14:paraId="5B994CD8" w14:textId="77777777" w:rsidR="00C21CA2" w:rsidRPr="007F5499" w:rsidRDefault="00066F6D" w:rsidP="00E2113D">
            <w:pPr>
              <w:spacing w:after="0" w:line="240" w:lineRule="auto"/>
              <w:jc w:val="center"/>
              <w:rPr>
                <w:rFonts w:ascii="Times New Roman" w:eastAsia="Calibri" w:hAnsi="Times New Roman" w:cs="Times New Roman"/>
                <w:color w:val="000000"/>
                <w:kern w:val="24"/>
                <w:sz w:val="24"/>
                <w:szCs w:val="24"/>
                <w:lang w:eastAsia="de-DE"/>
              </w:rPr>
            </w:pPr>
            <w:r w:rsidRPr="007F5499">
              <w:rPr>
                <w:rFonts w:ascii="Times New Roman" w:eastAsia="Calibri" w:hAnsi="Times New Roman" w:cs="Times New Roman"/>
                <w:color w:val="000000"/>
                <w:kern w:val="24"/>
                <w:sz w:val="24"/>
                <w:szCs w:val="24"/>
                <w:lang w:eastAsia="de-DE"/>
              </w:rPr>
              <w:t>0.937</w:t>
            </w:r>
          </w:p>
        </w:tc>
        <w:tc>
          <w:tcPr>
            <w:tcW w:w="1448" w:type="dxa"/>
            <w:vMerge w:val="restart"/>
            <w:tcBorders>
              <w:top w:val="single" w:sz="8" w:space="0" w:color="auto"/>
              <w:left w:val="single" w:sz="8" w:space="0" w:color="auto"/>
              <w:bottom w:val="single" w:sz="8" w:space="0" w:color="auto"/>
              <w:right w:val="single" w:sz="8" w:space="0" w:color="auto"/>
            </w:tcBorders>
            <w:vAlign w:val="center"/>
          </w:tcPr>
          <w:p w14:paraId="2325D702" w14:textId="77777777" w:rsidR="00C21CA2" w:rsidRPr="007F5499" w:rsidRDefault="00066F6D" w:rsidP="00774DBF">
            <w:pPr>
              <w:spacing w:after="0" w:line="240" w:lineRule="auto"/>
              <w:jc w:val="center"/>
              <w:rPr>
                <w:rFonts w:ascii="Times New Roman" w:eastAsia="Calibri" w:hAnsi="Times New Roman" w:cs="Times New Roman"/>
                <w:color w:val="000000"/>
                <w:kern w:val="24"/>
                <w:sz w:val="24"/>
                <w:szCs w:val="24"/>
                <w:lang w:eastAsia="de-DE"/>
              </w:rPr>
            </w:pPr>
            <w:r w:rsidRPr="007F5499">
              <w:rPr>
                <w:rFonts w:ascii="Times New Roman" w:eastAsia="Calibri" w:hAnsi="Times New Roman" w:cs="Times New Roman"/>
                <w:color w:val="000000"/>
                <w:kern w:val="24"/>
                <w:sz w:val="24"/>
                <w:szCs w:val="24"/>
                <w:lang w:eastAsia="de-DE"/>
              </w:rPr>
              <w:t>Yes</w:t>
            </w:r>
          </w:p>
        </w:tc>
      </w:tr>
      <w:tr w:rsidR="00946E2E" w14:paraId="45486885" w14:textId="77777777" w:rsidTr="008972BF">
        <w:trPr>
          <w:trHeight w:val="279"/>
        </w:trPr>
        <w:tc>
          <w:tcPr>
            <w:tcW w:w="1665" w:type="dxa"/>
            <w:vMerge/>
            <w:tcBorders>
              <w:top w:val="single" w:sz="8" w:space="0" w:color="auto"/>
              <w:left w:val="single" w:sz="8" w:space="0" w:color="auto"/>
              <w:bottom w:val="single" w:sz="8" w:space="0" w:color="auto"/>
              <w:right w:val="single" w:sz="8" w:space="0" w:color="auto"/>
            </w:tcBorders>
            <w:vAlign w:val="center"/>
          </w:tcPr>
          <w:p w14:paraId="501E75F7"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BA06085" w14:textId="77777777" w:rsidR="00C21CA2" w:rsidRPr="007F5499" w:rsidRDefault="00066F6D">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DC_d</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12A3955A" w14:textId="77777777" w:rsidR="00C21CA2" w:rsidRPr="007F5499" w:rsidRDefault="00066F6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0.853</w:t>
            </w:r>
          </w:p>
        </w:tc>
        <w:tc>
          <w:tcPr>
            <w:tcW w:w="739" w:type="dxa"/>
            <w:vMerge/>
            <w:tcBorders>
              <w:top w:val="single" w:sz="8" w:space="0" w:color="auto"/>
              <w:left w:val="single" w:sz="8" w:space="0" w:color="auto"/>
              <w:bottom w:val="single" w:sz="8" w:space="0" w:color="auto"/>
              <w:right w:val="single" w:sz="8" w:space="0" w:color="auto"/>
            </w:tcBorders>
            <w:vAlign w:val="center"/>
          </w:tcPr>
          <w:p w14:paraId="28A558AA"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221" w:type="dxa"/>
            <w:vMerge/>
            <w:tcBorders>
              <w:top w:val="single" w:sz="8" w:space="0" w:color="auto"/>
              <w:left w:val="single" w:sz="8" w:space="0" w:color="auto"/>
              <w:bottom w:val="single" w:sz="8" w:space="0" w:color="auto"/>
              <w:right w:val="single" w:sz="8" w:space="0" w:color="auto"/>
            </w:tcBorders>
            <w:vAlign w:val="center"/>
          </w:tcPr>
          <w:p w14:paraId="6A4749B9"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128" w:type="dxa"/>
            <w:vMerge/>
            <w:tcBorders>
              <w:top w:val="single" w:sz="8" w:space="0" w:color="auto"/>
              <w:left w:val="single" w:sz="8" w:space="0" w:color="auto"/>
              <w:bottom w:val="single" w:sz="8" w:space="0" w:color="auto"/>
              <w:right w:val="single" w:sz="8" w:space="0" w:color="auto"/>
            </w:tcBorders>
            <w:vAlign w:val="center"/>
          </w:tcPr>
          <w:p w14:paraId="4BE4217D"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448" w:type="dxa"/>
            <w:vMerge/>
            <w:tcBorders>
              <w:top w:val="single" w:sz="8" w:space="0" w:color="auto"/>
              <w:left w:val="single" w:sz="8" w:space="0" w:color="auto"/>
              <w:bottom w:val="single" w:sz="8" w:space="0" w:color="auto"/>
              <w:right w:val="single" w:sz="8" w:space="0" w:color="auto"/>
            </w:tcBorders>
            <w:vAlign w:val="center"/>
          </w:tcPr>
          <w:p w14:paraId="09E585BD"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r>
      <w:tr w:rsidR="00946E2E" w14:paraId="266A5A89" w14:textId="77777777" w:rsidTr="008972BF">
        <w:trPr>
          <w:trHeight w:val="279"/>
        </w:trPr>
        <w:tc>
          <w:tcPr>
            <w:tcW w:w="1665" w:type="dxa"/>
            <w:vMerge/>
            <w:tcBorders>
              <w:top w:val="single" w:sz="8" w:space="0" w:color="auto"/>
              <w:left w:val="single" w:sz="8" w:space="0" w:color="auto"/>
              <w:bottom w:val="single" w:sz="8" w:space="0" w:color="auto"/>
              <w:right w:val="single" w:sz="8" w:space="0" w:color="auto"/>
            </w:tcBorders>
            <w:vAlign w:val="center"/>
          </w:tcPr>
          <w:p w14:paraId="05DE8D63"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45E2C4FD" w14:textId="77777777" w:rsidR="00C21CA2" w:rsidRPr="007F5499" w:rsidRDefault="00066F6D">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DC_e</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27ABF654" w14:textId="77777777" w:rsidR="00C21CA2" w:rsidRPr="007F5499" w:rsidRDefault="00066F6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0.752</w:t>
            </w:r>
          </w:p>
        </w:tc>
        <w:tc>
          <w:tcPr>
            <w:tcW w:w="739" w:type="dxa"/>
            <w:vMerge/>
            <w:tcBorders>
              <w:top w:val="single" w:sz="8" w:space="0" w:color="auto"/>
              <w:left w:val="single" w:sz="8" w:space="0" w:color="auto"/>
              <w:bottom w:val="single" w:sz="8" w:space="0" w:color="auto"/>
              <w:right w:val="single" w:sz="8" w:space="0" w:color="auto"/>
            </w:tcBorders>
            <w:vAlign w:val="center"/>
          </w:tcPr>
          <w:p w14:paraId="0B15B4E2"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221" w:type="dxa"/>
            <w:vMerge/>
            <w:tcBorders>
              <w:top w:val="single" w:sz="8" w:space="0" w:color="auto"/>
              <w:left w:val="single" w:sz="8" w:space="0" w:color="auto"/>
              <w:bottom w:val="single" w:sz="8" w:space="0" w:color="auto"/>
              <w:right w:val="single" w:sz="8" w:space="0" w:color="auto"/>
            </w:tcBorders>
            <w:vAlign w:val="center"/>
          </w:tcPr>
          <w:p w14:paraId="5AC8F6B3"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128" w:type="dxa"/>
            <w:vMerge/>
            <w:tcBorders>
              <w:top w:val="single" w:sz="8" w:space="0" w:color="auto"/>
              <w:left w:val="single" w:sz="8" w:space="0" w:color="auto"/>
              <w:bottom w:val="single" w:sz="8" w:space="0" w:color="auto"/>
              <w:right w:val="single" w:sz="8" w:space="0" w:color="auto"/>
            </w:tcBorders>
            <w:vAlign w:val="center"/>
          </w:tcPr>
          <w:p w14:paraId="6AAD1E7F"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448" w:type="dxa"/>
            <w:vMerge/>
            <w:tcBorders>
              <w:top w:val="single" w:sz="8" w:space="0" w:color="auto"/>
              <w:left w:val="single" w:sz="8" w:space="0" w:color="auto"/>
              <w:bottom w:val="single" w:sz="8" w:space="0" w:color="auto"/>
              <w:right w:val="single" w:sz="8" w:space="0" w:color="auto"/>
            </w:tcBorders>
            <w:vAlign w:val="center"/>
          </w:tcPr>
          <w:p w14:paraId="0E77D671"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r>
      <w:tr w:rsidR="00946E2E" w14:paraId="234A9181" w14:textId="77777777" w:rsidTr="008972BF">
        <w:trPr>
          <w:trHeight w:val="279"/>
        </w:trPr>
        <w:tc>
          <w:tcPr>
            <w:tcW w:w="1665"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591FF70F"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New laws</w:t>
            </w: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A55EA9E" w14:textId="77777777" w:rsidR="00C21CA2" w:rsidRPr="007F5499" w:rsidRDefault="00066F6D" w:rsidP="006656B2">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NL_c</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0D168605"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0.902</w:t>
            </w:r>
          </w:p>
        </w:tc>
        <w:tc>
          <w:tcPr>
            <w:tcW w:w="739"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4202065" w14:textId="77777777" w:rsidR="00C21CA2"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0.724</w:t>
            </w:r>
          </w:p>
        </w:tc>
        <w:tc>
          <w:tcPr>
            <w:tcW w:w="1221"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4F878D78"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0.627</w:t>
            </w:r>
          </w:p>
        </w:tc>
        <w:tc>
          <w:tcPr>
            <w:tcW w:w="1128"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1E4B1913"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0.839</w:t>
            </w:r>
          </w:p>
        </w:tc>
        <w:tc>
          <w:tcPr>
            <w:tcW w:w="1448"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420DB7A2" w14:textId="77777777" w:rsidR="00C21CA2" w:rsidRPr="007F5499" w:rsidRDefault="00066F6D" w:rsidP="00774DBF">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Yes</w:t>
            </w:r>
          </w:p>
        </w:tc>
      </w:tr>
      <w:tr w:rsidR="00946E2E" w14:paraId="79E93524" w14:textId="77777777" w:rsidTr="008972BF">
        <w:trPr>
          <w:trHeight w:val="279"/>
        </w:trPr>
        <w:tc>
          <w:tcPr>
            <w:tcW w:w="1665" w:type="dxa"/>
            <w:vMerge/>
            <w:tcBorders>
              <w:top w:val="single" w:sz="8" w:space="0" w:color="auto"/>
              <w:left w:val="single" w:sz="8" w:space="0" w:color="auto"/>
              <w:bottom w:val="single" w:sz="8" w:space="0" w:color="auto"/>
              <w:right w:val="single" w:sz="8" w:space="0" w:color="auto"/>
            </w:tcBorders>
            <w:vAlign w:val="center"/>
          </w:tcPr>
          <w:p w14:paraId="7EBCB88F"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290136B8" w14:textId="77777777" w:rsidR="00C21CA2" w:rsidRPr="007F5499" w:rsidRDefault="00066F6D">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NL_d</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2E9CF28F" w14:textId="77777777" w:rsidR="00C21CA2" w:rsidRPr="007F5499" w:rsidRDefault="00066F6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0.797</w:t>
            </w:r>
          </w:p>
        </w:tc>
        <w:tc>
          <w:tcPr>
            <w:tcW w:w="739" w:type="dxa"/>
            <w:vMerge/>
            <w:tcBorders>
              <w:top w:val="single" w:sz="8" w:space="0" w:color="auto"/>
              <w:left w:val="single" w:sz="8" w:space="0" w:color="auto"/>
              <w:bottom w:val="single" w:sz="8" w:space="0" w:color="auto"/>
              <w:right w:val="single" w:sz="8" w:space="0" w:color="auto"/>
            </w:tcBorders>
            <w:vAlign w:val="center"/>
          </w:tcPr>
          <w:p w14:paraId="561216E3"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221" w:type="dxa"/>
            <w:vMerge/>
            <w:tcBorders>
              <w:top w:val="single" w:sz="8" w:space="0" w:color="auto"/>
              <w:left w:val="single" w:sz="8" w:space="0" w:color="auto"/>
              <w:bottom w:val="single" w:sz="8" w:space="0" w:color="auto"/>
              <w:right w:val="single" w:sz="8" w:space="0" w:color="auto"/>
            </w:tcBorders>
            <w:vAlign w:val="center"/>
          </w:tcPr>
          <w:p w14:paraId="0F04F27C"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128" w:type="dxa"/>
            <w:vMerge/>
            <w:tcBorders>
              <w:top w:val="single" w:sz="8" w:space="0" w:color="auto"/>
              <w:left w:val="single" w:sz="8" w:space="0" w:color="auto"/>
              <w:bottom w:val="single" w:sz="8" w:space="0" w:color="auto"/>
              <w:right w:val="single" w:sz="8" w:space="0" w:color="auto"/>
            </w:tcBorders>
            <w:vAlign w:val="center"/>
          </w:tcPr>
          <w:p w14:paraId="4BD747BA"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448" w:type="dxa"/>
            <w:vMerge/>
            <w:tcBorders>
              <w:top w:val="single" w:sz="8" w:space="0" w:color="auto"/>
              <w:left w:val="single" w:sz="8" w:space="0" w:color="auto"/>
              <w:bottom w:val="single" w:sz="8" w:space="0" w:color="auto"/>
              <w:right w:val="single" w:sz="8" w:space="0" w:color="auto"/>
            </w:tcBorders>
            <w:vAlign w:val="center"/>
          </w:tcPr>
          <w:p w14:paraId="1CE78BC1"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r>
      <w:tr w:rsidR="00946E2E" w14:paraId="08979D69" w14:textId="77777777" w:rsidTr="008972BF">
        <w:trPr>
          <w:trHeight w:val="279"/>
        </w:trPr>
        <w:tc>
          <w:tcPr>
            <w:tcW w:w="1665"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02A8919B"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Good Governance</w:t>
            </w: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17E68D9A" w14:textId="58CCF6B8" w:rsidR="00C21CA2" w:rsidRPr="007F5499" w:rsidRDefault="00B8584D" w:rsidP="006236FC">
            <w:pPr>
              <w:spacing w:after="0" w:line="240" w:lineRule="auto"/>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 xml:space="preserve">   GG_b</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02D2F976"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0.875</w:t>
            </w:r>
          </w:p>
        </w:tc>
        <w:tc>
          <w:tcPr>
            <w:tcW w:w="739"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72B8C3EF" w14:textId="77777777" w:rsidR="00C21CA2"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0.809</w:t>
            </w:r>
          </w:p>
        </w:tc>
        <w:tc>
          <w:tcPr>
            <w:tcW w:w="1221"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5419E24"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0.766</w:t>
            </w:r>
          </w:p>
        </w:tc>
        <w:tc>
          <w:tcPr>
            <w:tcW w:w="1128"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15C8E4A"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0.894</w:t>
            </w:r>
          </w:p>
        </w:tc>
        <w:tc>
          <w:tcPr>
            <w:tcW w:w="1448"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46CB8419" w14:textId="77777777" w:rsidR="00C21CA2" w:rsidRPr="007F5499" w:rsidRDefault="00066F6D" w:rsidP="00774DBF">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Yes</w:t>
            </w:r>
          </w:p>
        </w:tc>
      </w:tr>
      <w:tr w:rsidR="00946E2E" w14:paraId="396F5092" w14:textId="77777777" w:rsidTr="008972BF">
        <w:trPr>
          <w:trHeight w:val="279"/>
        </w:trPr>
        <w:tc>
          <w:tcPr>
            <w:tcW w:w="1665" w:type="dxa"/>
            <w:vMerge/>
            <w:tcBorders>
              <w:top w:val="single" w:sz="8" w:space="0" w:color="auto"/>
              <w:left w:val="single" w:sz="8" w:space="0" w:color="auto"/>
              <w:bottom w:val="single" w:sz="8" w:space="0" w:color="auto"/>
              <w:right w:val="single" w:sz="8" w:space="0" w:color="auto"/>
            </w:tcBorders>
            <w:vAlign w:val="center"/>
          </w:tcPr>
          <w:p w14:paraId="3B7E6EF5"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7C736E1D" w14:textId="77777777" w:rsidR="00C21CA2" w:rsidRPr="007F5499" w:rsidRDefault="00066F6D">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GG_c</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735448D1" w14:textId="77777777" w:rsidR="00C21CA2" w:rsidRPr="007F5499" w:rsidRDefault="00066F6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0.923</w:t>
            </w:r>
          </w:p>
        </w:tc>
        <w:tc>
          <w:tcPr>
            <w:tcW w:w="739" w:type="dxa"/>
            <w:vMerge/>
            <w:tcBorders>
              <w:top w:val="single" w:sz="8" w:space="0" w:color="auto"/>
              <w:left w:val="single" w:sz="8" w:space="0" w:color="auto"/>
              <w:bottom w:val="single" w:sz="8" w:space="0" w:color="auto"/>
              <w:right w:val="single" w:sz="8" w:space="0" w:color="auto"/>
            </w:tcBorders>
            <w:vAlign w:val="center"/>
          </w:tcPr>
          <w:p w14:paraId="037A648E"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221" w:type="dxa"/>
            <w:vMerge/>
            <w:tcBorders>
              <w:top w:val="single" w:sz="8" w:space="0" w:color="auto"/>
              <w:left w:val="single" w:sz="8" w:space="0" w:color="auto"/>
              <w:bottom w:val="single" w:sz="8" w:space="0" w:color="auto"/>
              <w:right w:val="single" w:sz="8" w:space="0" w:color="auto"/>
            </w:tcBorders>
            <w:vAlign w:val="center"/>
          </w:tcPr>
          <w:p w14:paraId="09703AFC"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128" w:type="dxa"/>
            <w:vMerge/>
            <w:tcBorders>
              <w:top w:val="single" w:sz="8" w:space="0" w:color="auto"/>
              <w:left w:val="single" w:sz="8" w:space="0" w:color="auto"/>
              <w:bottom w:val="single" w:sz="8" w:space="0" w:color="auto"/>
              <w:right w:val="single" w:sz="8" w:space="0" w:color="auto"/>
            </w:tcBorders>
            <w:vAlign w:val="center"/>
          </w:tcPr>
          <w:p w14:paraId="31938D25"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448" w:type="dxa"/>
            <w:vMerge/>
            <w:tcBorders>
              <w:top w:val="single" w:sz="8" w:space="0" w:color="auto"/>
              <w:left w:val="single" w:sz="8" w:space="0" w:color="auto"/>
              <w:bottom w:val="single" w:sz="8" w:space="0" w:color="auto"/>
              <w:right w:val="single" w:sz="8" w:space="0" w:color="auto"/>
            </w:tcBorders>
            <w:vAlign w:val="center"/>
          </w:tcPr>
          <w:p w14:paraId="049A95BE"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r>
      <w:tr w:rsidR="00946E2E" w14:paraId="5F9BD572" w14:textId="77777777" w:rsidTr="008972BF">
        <w:trPr>
          <w:trHeight w:val="279"/>
        </w:trPr>
        <w:tc>
          <w:tcPr>
            <w:tcW w:w="1665"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7E72D3DE"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Effectiveness</w:t>
            </w: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1636DBE5" w14:textId="77777777" w:rsidR="00C21CA2" w:rsidRPr="007F5499" w:rsidRDefault="00066F6D" w:rsidP="006656B2">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E_a</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519E9790" w14:textId="77777777" w:rsidR="00C21CA2"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0.767</w:t>
            </w:r>
          </w:p>
        </w:tc>
        <w:tc>
          <w:tcPr>
            <w:tcW w:w="739"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4C295211" w14:textId="77777777" w:rsidR="00C21CA2"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0.625</w:t>
            </w:r>
          </w:p>
        </w:tc>
        <w:tc>
          <w:tcPr>
            <w:tcW w:w="1221"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683E3F73"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0.802</w:t>
            </w:r>
          </w:p>
        </w:tc>
        <w:tc>
          <w:tcPr>
            <w:tcW w:w="1128"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715007C" w14:textId="77777777" w:rsidR="00C21CA2" w:rsidRPr="007F5499" w:rsidRDefault="00066F6D" w:rsidP="00E2113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0.870</w:t>
            </w:r>
          </w:p>
        </w:tc>
        <w:tc>
          <w:tcPr>
            <w:tcW w:w="1448"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BC0697E" w14:textId="77777777" w:rsidR="00C21CA2" w:rsidRPr="007F5499" w:rsidRDefault="00066F6D" w:rsidP="00774DBF">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Yes</w:t>
            </w:r>
          </w:p>
        </w:tc>
      </w:tr>
      <w:tr w:rsidR="00946E2E" w14:paraId="06BB96A9" w14:textId="77777777" w:rsidTr="008972BF">
        <w:trPr>
          <w:trHeight w:val="279"/>
        </w:trPr>
        <w:tc>
          <w:tcPr>
            <w:tcW w:w="1665" w:type="dxa"/>
            <w:vMerge/>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78586BF9" w14:textId="77777777" w:rsidR="00C21CA2" w:rsidRPr="007F5499" w:rsidRDefault="00C21CA2">
            <w:pPr>
              <w:spacing w:after="0" w:line="240" w:lineRule="auto"/>
              <w:jc w:val="center"/>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73332F6F" w14:textId="77777777" w:rsidR="00C21CA2" w:rsidRPr="007F5499" w:rsidRDefault="00066F6D">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E_b</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0DAF9875" w14:textId="77777777" w:rsidR="00C21CA2" w:rsidRPr="007F5499" w:rsidRDefault="00066F6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0.821</w:t>
            </w:r>
          </w:p>
        </w:tc>
        <w:tc>
          <w:tcPr>
            <w:tcW w:w="739" w:type="dxa"/>
            <w:vMerge/>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24787FF8" w14:textId="77777777" w:rsidR="00C21CA2" w:rsidRPr="007F5499" w:rsidRDefault="00C21CA2">
            <w:pPr>
              <w:spacing w:after="0" w:line="240" w:lineRule="auto"/>
              <w:jc w:val="center"/>
              <w:rPr>
                <w:rFonts w:ascii="Times New Roman" w:eastAsia="Times New Roman" w:hAnsi="Times New Roman" w:cs="Times New Roman"/>
                <w:sz w:val="24"/>
                <w:szCs w:val="24"/>
                <w:lang w:eastAsia="de-DE"/>
              </w:rPr>
            </w:pPr>
          </w:p>
        </w:tc>
        <w:tc>
          <w:tcPr>
            <w:tcW w:w="1221" w:type="dxa"/>
            <w:vMerge/>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3DD2212A" w14:textId="77777777" w:rsidR="00C21CA2" w:rsidRPr="007F5499" w:rsidRDefault="00C21CA2">
            <w:pPr>
              <w:spacing w:after="0" w:line="240" w:lineRule="auto"/>
              <w:jc w:val="center"/>
              <w:rPr>
                <w:rFonts w:ascii="Times New Roman" w:eastAsia="Times New Roman" w:hAnsi="Times New Roman" w:cs="Times New Roman"/>
                <w:sz w:val="24"/>
                <w:szCs w:val="24"/>
                <w:lang w:eastAsia="de-DE"/>
              </w:rPr>
            </w:pPr>
          </w:p>
        </w:tc>
        <w:tc>
          <w:tcPr>
            <w:tcW w:w="1128" w:type="dxa"/>
            <w:vMerge/>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414F1A74" w14:textId="77777777" w:rsidR="00C21CA2" w:rsidRPr="007F5499" w:rsidRDefault="00C21CA2">
            <w:pPr>
              <w:spacing w:after="0" w:line="240" w:lineRule="auto"/>
              <w:jc w:val="center"/>
              <w:rPr>
                <w:rFonts w:ascii="Times New Roman" w:eastAsia="Times New Roman" w:hAnsi="Times New Roman" w:cs="Times New Roman"/>
                <w:sz w:val="24"/>
                <w:szCs w:val="24"/>
                <w:lang w:eastAsia="de-DE"/>
              </w:rPr>
            </w:pPr>
          </w:p>
        </w:tc>
        <w:tc>
          <w:tcPr>
            <w:tcW w:w="1448" w:type="dxa"/>
            <w:vMerge/>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12B6B7F3" w14:textId="77777777" w:rsidR="00C21CA2" w:rsidRPr="007F5499" w:rsidRDefault="00C21CA2">
            <w:pPr>
              <w:spacing w:after="0" w:line="240" w:lineRule="auto"/>
              <w:jc w:val="center"/>
              <w:rPr>
                <w:rFonts w:ascii="Times New Roman" w:eastAsia="Times New Roman" w:hAnsi="Times New Roman" w:cs="Times New Roman"/>
                <w:sz w:val="24"/>
                <w:szCs w:val="24"/>
                <w:lang w:eastAsia="de-DE"/>
              </w:rPr>
            </w:pPr>
          </w:p>
        </w:tc>
      </w:tr>
      <w:tr w:rsidR="00946E2E" w14:paraId="1F655F66" w14:textId="77777777" w:rsidTr="008972BF">
        <w:trPr>
          <w:trHeight w:val="279"/>
        </w:trPr>
        <w:tc>
          <w:tcPr>
            <w:tcW w:w="1665" w:type="dxa"/>
            <w:vMerge/>
            <w:tcBorders>
              <w:top w:val="single" w:sz="8" w:space="0" w:color="auto"/>
              <w:left w:val="single" w:sz="8" w:space="0" w:color="auto"/>
              <w:bottom w:val="single" w:sz="8" w:space="0" w:color="auto"/>
              <w:right w:val="single" w:sz="8" w:space="0" w:color="auto"/>
            </w:tcBorders>
            <w:vAlign w:val="center"/>
          </w:tcPr>
          <w:p w14:paraId="658F7967"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4C316478" w14:textId="77777777" w:rsidR="00C21CA2" w:rsidRPr="007F5499" w:rsidRDefault="00066F6D">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E_f</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1DE839B2" w14:textId="77777777" w:rsidR="00C21CA2" w:rsidRPr="007F5499" w:rsidRDefault="00066F6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0.782</w:t>
            </w:r>
          </w:p>
        </w:tc>
        <w:tc>
          <w:tcPr>
            <w:tcW w:w="739" w:type="dxa"/>
            <w:vMerge/>
            <w:tcBorders>
              <w:top w:val="single" w:sz="8" w:space="0" w:color="auto"/>
              <w:left w:val="single" w:sz="8" w:space="0" w:color="auto"/>
              <w:bottom w:val="single" w:sz="8" w:space="0" w:color="auto"/>
              <w:right w:val="single" w:sz="8" w:space="0" w:color="auto"/>
            </w:tcBorders>
            <w:vAlign w:val="center"/>
          </w:tcPr>
          <w:p w14:paraId="70FA1CEE"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221" w:type="dxa"/>
            <w:vMerge/>
            <w:tcBorders>
              <w:top w:val="single" w:sz="8" w:space="0" w:color="auto"/>
              <w:left w:val="single" w:sz="8" w:space="0" w:color="auto"/>
              <w:bottom w:val="single" w:sz="8" w:space="0" w:color="auto"/>
              <w:right w:val="single" w:sz="8" w:space="0" w:color="auto"/>
            </w:tcBorders>
            <w:vAlign w:val="center"/>
          </w:tcPr>
          <w:p w14:paraId="4634CA4D"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128" w:type="dxa"/>
            <w:vMerge/>
            <w:tcBorders>
              <w:top w:val="single" w:sz="8" w:space="0" w:color="auto"/>
              <w:left w:val="single" w:sz="8" w:space="0" w:color="auto"/>
              <w:bottom w:val="single" w:sz="8" w:space="0" w:color="auto"/>
              <w:right w:val="single" w:sz="8" w:space="0" w:color="auto"/>
            </w:tcBorders>
            <w:vAlign w:val="center"/>
          </w:tcPr>
          <w:p w14:paraId="7241BEEA"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448" w:type="dxa"/>
            <w:vMerge/>
            <w:tcBorders>
              <w:top w:val="single" w:sz="8" w:space="0" w:color="auto"/>
              <w:left w:val="single" w:sz="8" w:space="0" w:color="auto"/>
              <w:bottom w:val="single" w:sz="8" w:space="0" w:color="auto"/>
              <w:right w:val="single" w:sz="8" w:space="0" w:color="auto"/>
            </w:tcBorders>
            <w:vAlign w:val="center"/>
          </w:tcPr>
          <w:p w14:paraId="5F461A21"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r>
      <w:tr w:rsidR="00946E2E" w14:paraId="6627AC2D" w14:textId="77777777" w:rsidTr="008972BF">
        <w:trPr>
          <w:trHeight w:val="257"/>
        </w:trPr>
        <w:tc>
          <w:tcPr>
            <w:tcW w:w="1665" w:type="dxa"/>
            <w:vMerge/>
            <w:tcBorders>
              <w:top w:val="single" w:sz="8" w:space="0" w:color="auto"/>
              <w:left w:val="single" w:sz="8" w:space="0" w:color="auto"/>
              <w:bottom w:val="single" w:sz="8" w:space="0" w:color="auto"/>
              <w:right w:val="single" w:sz="8" w:space="0" w:color="auto"/>
            </w:tcBorders>
            <w:vAlign w:val="center"/>
          </w:tcPr>
          <w:p w14:paraId="0F0985C1"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088"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vAlign w:val="center"/>
          </w:tcPr>
          <w:p w14:paraId="7B5CEB57" w14:textId="77777777" w:rsidR="00C21CA2" w:rsidRPr="007F5499" w:rsidRDefault="00066F6D">
            <w:pPr>
              <w:spacing w:after="0" w:line="240" w:lineRule="auto"/>
              <w:jc w:val="center"/>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sz w:val="24"/>
                <w:szCs w:val="24"/>
                <w:lang w:eastAsia="de-DE"/>
              </w:rPr>
              <w:t>E_g</w:t>
            </w:r>
          </w:p>
        </w:tc>
        <w:tc>
          <w:tcPr>
            <w:tcW w:w="1065" w:type="dxa"/>
            <w:tcBorders>
              <w:top w:val="single" w:sz="8" w:space="0" w:color="auto"/>
              <w:left w:val="single" w:sz="8" w:space="0" w:color="auto"/>
              <w:bottom w:val="single" w:sz="8" w:space="0" w:color="auto"/>
              <w:right w:val="single" w:sz="8" w:space="0" w:color="auto"/>
            </w:tcBorders>
            <w:shd w:val="clear" w:color="auto" w:fill="auto"/>
            <w:tcMar>
              <w:top w:w="15" w:type="dxa"/>
              <w:left w:w="17" w:type="dxa"/>
              <w:bottom w:w="0" w:type="dxa"/>
              <w:right w:w="17" w:type="dxa"/>
            </w:tcMar>
          </w:tcPr>
          <w:p w14:paraId="36BD6B95" w14:textId="77777777" w:rsidR="00C21CA2" w:rsidRPr="007F5499" w:rsidRDefault="00066F6D">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0.791</w:t>
            </w:r>
          </w:p>
        </w:tc>
        <w:tc>
          <w:tcPr>
            <w:tcW w:w="739" w:type="dxa"/>
            <w:vMerge/>
            <w:tcBorders>
              <w:top w:val="single" w:sz="8" w:space="0" w:color="auto"/>
              <w:left w:val="single" w:sz="8" w:space="0" w:color="auto"/>
              <w:bottom w:val="single" w:sz="8" w:space="0" w:color="auto"/>
              <w:right w:val="single" w:sz="8" w:space="0" w:color="auto"/>
            </w:tcBorders>
            <w:vAlign w:val="center"/>
          </w:tcPr>
          <w:p w14:paraId="1BD4FA17"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221" w:type="dxa"/>
            <w:vMerge/>
            <w:tcBorders>
              <w:top w:val="single" w:sz="8" w:space="0" w:color="auto"/>
              <w:left w:val="single" w:sz="8" w:space="0" w:color="auto"/>
              <w:bottom w:val="single" w:sz="8" w:space="0" w:color="auto"/>
              <w:right w:val="single" w:sz="8" w:space="0" w:color="auto"/>
            </w:tcBorders>
            <w:vAlign w:val="center"/>
          </w:tcPr>
          <w:p w14:paraId="548AF85B"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128" w:type="dxa"/>
            <w:vMerge/>
            <w:tcBorders>
              <w:top w:val="single" w:sz="8" w:space="0" w:color="auto"/>
              <w:left w:val="single" w:sz="8" w:space="0" w:color="auto"/>
              <w:bottom w:val="single" w:sz="8" w:space="0" w:color="auto"/>
              <w:right w:val="single" w:sz="8" w:space="0" w:color="auto"/>
            </w:tcBorders>
            <w:vAlign w:val="center"/>
          </w:tcPr>
          <w:p w14:paraId="72669725"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c>
          <w:tcPr>
            <w:tcW w:w="1448" w:type="dxa"/>
            <w:vMerge/>
            <w:tcBorders>
              <w:top w:val="single" w:sz="8" w:space="0" w:color="auto"/>
              <w:left w:val="single" w:sz="8" w:space="0" w:color="auto"/>
              <w:bottom w:val="single" w:sz="8" w:space="0" w:color="auto"/>
              <w:right w:val="single" w:sz="8" w:space="0" w:color="auto"/>
            </w:tcBorders>
            <w:vAlign w:val="center"/>
          </w:tcPr>
          <w:p w14:paraId="64C14958" w14:textId="77777777" w:rsidR="00C21CA2" w:rsidRPr="007F5499" w:rsidRDefault="00C21CA2">
            <w:pPr>
              <w:spacing w:after="0" w:line="240" w:lineRule="auto"/>
              <w:rPr>
                <w:rFonts w:ascii="Times New Roman" w:eastAsia="Times New Roman" w:hAnsi="Times New Roman" w:cs="Times New Roman"/>
                <w:sz w:val="24"/>
                <w:szCs w:val="24"/>
                <w:lang w:eastAsia="de-DE"/>
              </w:rPr>
            </w:pPr>
          </w:p>
        </w:tc>
      </w:tr>
    </w:tbl>
    <w:p w14:paraId="1B053A2E" w14:textId="7E9A2CDB" w:rsidR="00C21CA2" w:rsidRPr="007F5499" w:rsidRDefault="00066F6D" w:rsidP="00DE62D0">
      <w:pPr>
        <w:spacing w:line="240" w:lineRule="auto"/>
        <w:rPr>
          <w:rFonts w:ascii="Times New Roman" w:hAnsi="Times New Roman" w:cs="Times New Roman"/>
          <w:sz w:val="20"/>
          <w:szCs w:val="24"/>
        </w:rPr>
      </w:pPr>
      <w:r w:rsidRPr="007F5499">
        <w:rPr>
          <w:rFonts w:ascii="Times New Roman" w:hAnsi="Times New Roman" w:cs="Times New Roman"/>
          <w:sz w:val="20"/>
          <w:szCs w:val="24"/>
          <w:vertAlign w:val="superscript"/>
        </w:rPr>
        <w:t>1</w:t>
      </w:r>
      <w:r w:rsidRPr="007F5499">
        <w:rPr>
          <w:rFonts w:ascii="Times New Roman" w:hAnsi="Times New Roman" w:cs="Times New Roman"/>
          <w:sz w:val="20"/>
          <w:szCs w:val="24"/>
        </w:rPr>
        <w:t xml:space="preserve"> Thresholds of the quality criteria </w:t>
      </w:r>
      <w:r w:rsidRPr="007F5499">
        <w:rPr>
          <w:rFonts w:ascii="Times New Roman" w:eastAsia="Calibri" w:hAnsi="Times New Roman" w:cs="Times New Roman"/>
          <w:sz w:val="20"/>
          <w:szCs w:val="24"/>
        </w:rPr>
        <w:t>need</w:t>
      </w:r>
      <w:r w:rsidRPr="007F5499">
        <w:rPr>
          <w:rFonts w:ascii="Times New Roman" w:hAnsi="Times New Roman" w:cs="Times New Roman"/>
          <w:sz w:val="20"/>
          <w:szCs w:val="24"/>
        </w:rPr>
        <w:t xml:space="preserve"> to be met. Each threshold is stated for each quality </w:t>
      </w:r>
      <w:r w:rsidRPr="007F5499">
        <w:rPr>
          <w:rFonts w:ascii="Times New Roman" w:eastAsia="Calibri" w:hAnsi="Times New Roman" w:cs="Times New Roman"/>
          <w:sz w:val="20"/>
          <w:szCs w:val="24"/>
        </w:rPr>
        <w:t>criterion</w:t>
      </w:r>
      <w:r w:rsidRPr="007F5499">
        <w:rPr>
          <w:rFonts w:ascii="Times New Roman" w:hAnsi="Times New Roman" w:cs="Times New Roman"/>
          <w:sz w:val="20"/>
          <w:szCs w:val="24"/>
        </w:rPr>
        <w:t>.</w:t>
      </w:r>
    </w:p>
    <w:p w14:paraId="3295A58B" w14:textId="77777777" w:rsidR="00A31478" w:rsidRPr="007F5499" w:rsidRDefault="00A31478" w:rsidP="00DE62D0">
      <w:pPr>
        <w:spacing w:line="240" w:lineRule="auto"/>
        <w:jc w:val="both"/>
        <w:rPr>
          <w:rFonts w:ascii="Times New Roman" w:hAnsi="Times New Roman" w:cs="Times New Roman"/>
          <w:sz w:val="24"/>
          <w:szCs w:val="24"/>
        </w:rPr>
      </w:pPr>
      <w:bookmarkStart w:id="1" w:name="_Toc53227165"/>
    </w:p>
    <w:p w14:paraId="31FC8D21" w14:textId="0729822F" w:rsidR="00506B07"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After the confirmation of the reliability and validity of the measurement model</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the path model can be evaluated. There are two main criteria to </w:t>
      </w:r>
      <w:r w:rsidR="00B8584D" w:rsidRPr="007F5499">
        <w:rPr>
          <w:rFonts w:ascii="Times New Roman" w:eastAsia="Calibri" w:hAnsi="Times New Roman" w:cs="Times New Roman"/>
          <w:sz w:val="24"/>
          <w:szCs w:val="24"/>
        </w:rPr>
        <w:t>evaluate</w:t>
      </w:r>
      <w:r w:rsidRPr="007F5499">
        <w:rPr>
          <w:rFonts w:ascii="Times New Roman" w:hAnsi="Times New Roman" w:cs="Times New Roman"/>
          <w:sz w:val="24"/>
          <w:szCs w:val="24"/>
        </w:rPr>
        <w:t xml:space="preserve"> the path model</w:t>
      </w:r>
      <w:r w:rsidR="00B8584D" w:rsidRPr="007F5499">
        <w:rPr>
          <w:rFonts w:ascii="Times New Roman" w:eastAsia="Calibri" w:hAnsi="Times New Roman" w:cs="Times New Roman"/>
          <w:sz w:val="24"/>
          <w:szCs w:val="24"/>
        </w:rPr>
        <w:t xml:space="preserve">: </w:t>
      </w:r>
      <w:r w:rsidRPr="007F5499">
        <w:rPr>
          <w:rFonts w:ascii="Times New Roman" w:hAnsi="Times New Roman" w:cs="Times New Roman"/>
          <w:sz w:val="24"/>
          <w:szCs w:val="24"/>
        </w:rPr>
        <w:t xml:space="preserve">the size of the path relationship and </w:t>
      </w:r>
      <w:r w:rsidR="00B8584D" w:rsidRPr="007F5499">
        <w:rPr>
          <w:rFonts w:ascii="Times New Roman" w:eastAsia="Calibri" w:hAnsi="Times New Roman" w:cs="Times New Roman"/>
          <w:sz w:val="24"/>
          <w:szCs w:val="24"/>
        </w:rPr>
        <w:t>its</w:t>
      </w:r>
      <w:r w:rsidRPr="007F5499">
        <w:rPr>
          <w:rFonts w:ascii="Times New Roman" w:hAnsi="Times New Roman" w:cs="Times New Roman"/>
          <w:sz w:val="24"/>
          <w:szCs w:val="24"/>
        </w:rPr>
        <w:t xml:space="preserve"> significance. The interpretation of the path relationships is identical to the interpretation of regression coefficients. Table 2 summarizes the results of the path model and the relationship of the control variables to the focal construct “effectiveness”.</w:t>
      </w:r>
    </w:p>
    <w:p w14:paraId="40BEF757" w14:textId="77777777" w:rsidR="007834A4" w:rsidRPr="007F5499" w:rsidRDefault="00066F6D" w:rsidP="00DE62D0">
      <w:pPr>
        <w:spacing w:line="240" w:lineRule="auto"/>
        <w:jc w:val="both"/>
        <w:rPr>
          <w:rFonts w:ascii="Times New Roman" w:hAnsi="Times New Roman" w:cs="Times New Roman"/>
          <w:i/>
          <w:sz w:val="24"/>
          <w:szCs w:val="24"/>
        </w:rPr>
      </w:pPr>
      <w:r w:rsidRPr="007F5499">
        <w:rPr>
          <w:rFonts w:ascii="Times New Roman" w:hAnsi="Times New Roman" w:cs="Times New Roman"/>
          <w:i/>
          <w:sz w:val="24"/>
          <w:szCs w:val="24"/>
        </w:rPr>
        <w:t>Table 3: Path coefficients and p values.</w:t>
      </w:r>
    </w:p>
    <w:tbl>
      <w:tblPr>
        <w:tblW w:w="7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399"/>
        <w:gridCol w:w="1748"/>
        <w:gridCol w:w="1749"/>
        <w:gridCol w:w="1749"/>
      </w:tblGrid>
      <w:tr w:rsidR="00946E2E" w14:paraId="38367C01" w14:textId="77777777" w:rsidTr="00B5111F">
        <w:trPr>
          <w:trHeight w:val="592"/>
        </w:trPr>
        <w:tc>
          <w:tcPr>
            <w:tcW w:w="2399" w:type="dxa"/>
            <w:shd w:val="clear" w:color="auto" w:fill="auto"/>
            <w:tcMar>
              <w:top w:w="15" w:type="dxa"/>
              <w:left w:w="88" w:type="dxa"/>
              <w:bottom w:w="0" w:type="dxa"/>
              <w:right w:w="88" w:type="dxa"/>
            </w:tcMar>
            <w:vAlign w:val="center"/>
            <w:hideMark/>
          </w:tcPr>
          <w:p w14:paraId="7923A1F7" w14:textId="77777777" w:rsidR="000A6C0A" w:rsidRPr="007F5499" w:rsidRDefault="000A6C0A" w:rsidP="006656B2">
            <w:pPr>
              <w:spacing w:after="0" w:line="240" w:lineRule="auto"/>
              <w:rPr>
                <w:rFonts w:ascii="Times New Roman" w:eastAsia="Times New Roman" w:hAnsi="Times New Roman" w:cs="Times New Roman"/>
                <w:sz w:val="24"/>
                <w:szCs w:val="24"/>
                <w:lang w:eastAsia="de-DE"/>
              </w:rPr>
            </w:pPr>
          </w:p>
        </w:tc>
        <w:tc>
          <w:tcPr>
            <w:tcW w:w="1748" w:type="dxa"/>
            <w:shd w:val="clear" w:color="auto" w:fill="auto"/>
            <w:tcMar>
              <w:top w:w="15" w:type="dxa"/>
              <w:left w:w="88" w:type="dxa"/>
              <w:bottom w:w="0" w:type="dxa"/>
              <w:right w:w="88" w:type="dxa"/>
            </w:tcMar>
            <w:vAlign w:val="center"/>
            <w:hideMark/>
          </w:tcPr>
          <w:p w14:paraId="67096701"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kern w:val="24"/>
                <w:sz w:val="24"/>
                <w:szCs w:val="24"/>
                <w:lang w:eastAsia="de-DE"/>
              </w:rPr>
              <w:t>New laws</w:t>
            </w:r>
          </w:p>
        </w:tc>
        <w:tc>
          <w:tcPr>
            <w:tcW w:w="1749" w:type="dxa"/>
            <w:shd w:val="clear" w:color="auto" w:fill="auto"/>
            <w:tcMar>
              <w:top w:w="15" w:type="dxa"/>
              <w:left w:w="88" w:type="dxa"/>
              <w:bottom w:w="0" w:type="dxa"/>
              <w:right w:w="88" w:type="dxa"/>
            </w:tcMar>
            <w:vAlign w:val="center"/>
            <w:hideMark/>
          </w:tcPr>
          <w:p w14:paraId="6EC18F51"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kern w:val="24"/>
                <w:sz w:val="24"/>
                <w:szCs w:val="24"/>
                <w:lang w:eastAsia="de-DE"/>
              </w:rPr>
              <w:t>Good G=governance</w:t>
            </w:r>
          </w:p>
        </w:tc>
        <w:tc>
          <w:tcPr>
            <w:tcW w:w="1749" w:type="dxa"/>
            <w:shd w:val="clear" w:color="auto" w:fill="auto"/>
            <w:tcMar>
              <w:top w:w="15" w:type="dxa"/>
              <w:left w:w="88" w:type="dxa"/>
              <w:bottom w:w="0" w:type="dxa"/>
              <w:right w:w="88" w:type="dxa"/>
            </w:tcMar>
            <w:vAlign w:val="center"/>
            <w:hideMark/>
          </w:tcPr>
          <w:p w14:paraId="12A3FD3B" w14:textId="77777777" w:rsidR="000A6C0A"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kern w:val="24"/>
                <w:sz w:val="24"/>
                <w:szCs w:val="24"/>
                <w:lang w:eastAsia="de-DE"/>
              </w:rPr>
              <w:t>Effectiveness</w:t>
            </w:r>
          </w:p>
        </w:tc>
      </w:tr>
      <w:tr w:rsidR="00946E2E" w14:paraId="6166999B" w14:textId="77777777" w:rsidTr="00B5111F">
        <w:trPr>
          <w:trHeight w:val="272"/>
        </w:trPr>
        <w:tc>
          <w:tcPr>
            <w:tcW w:w="2399" w:type="dxa"/>
            <w:shd w:val="clear" w:color="auto" w:fill="auto"/>
            <w:tcMar>
              <w:top w:w="72" w:type="dxa"/>
              <w:left w:w="144" w:type="dxa"/>
              <w:bottom w:w="72" w:type="dxa"/>
              <w:right w:w="144" w:type="dxa"/>
            </w:tcMar>
            <w:vAlign w:val="center"/>
            <w:hideMark/>
          </w:tcPr>
          <w:p w14:paraId="1D3FF55A" w14:textId="77777777" w:rsidR="000A6C0A" w:rsidRPr="007F5499" w:rsidRDefault="00066F6D" w:rsidP="00261CFF">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Cs/>
                <w:color w:val="000000"/>
                <w:kern w:val="24"/>
                <w:sz w:val="24"/>
                <w:szCs w:val="24"/>
                <w:lang w:eastAsia="de-DE"/>
              </w:rPr>
              <w:t>Digitalized communication</w:t>
            </w:r>
          </w:p>
        </w:tc>
        <w:tc>
          <w:tcPr>
            <w:tcW w:w="1748" w:type="dxa"/>
            <w:shd w:val="clear" w:color="auto" w:fill="auto"/>
            <w:tcMar>
              <w:top w:w="15" w:type="dxa"/>
              <w:left w:w="88" w:type="dxa"/>
              <w:bottom w:w="0" w:type="dxa"/>
              <w:right w:w="88" w:type="dxa"/>
            </w:tcMar>
            <w:vAlign w:val="center"/>
          </w:tcPr>
          <w:p w14:paraId="39B44002"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0.137**</w:t>
            </w:r>
          </w:p>
        </w:tc>
        <w:tc>
          <w:tcPr>
            <w:tcW w:w="1749" w:type="dxa"/>
            <w:shd w:val="clear" w:color="auto" w:fill="auto"/>
            <w:tcMar>
              <w:top w:w="72" w:type="dxa"/>
              <w:left w:w="144" w:type="dxa"/>
              <w:bottom w:w="72" w:type="dxa"/>
              <w:right w:w="144" w:type="dxa"/>
            </w:tcMar>
            <w:vAlign w:val="center"/>
          </w:tcPr>
          <w:p w14:paraId="53085D0D" w14:textId="77777777" w:rsidR="000A6C0A" w:rsidRPr="007F5499" w:rsidRDefault="00066F6D" w:rsidP="00DE62D0">
            <w:pPr>
              <w:spacing w:after="0" w:line="240" w:lineRule="auto"/>
              <w:jc w:val="center"/>
              <w:rPr>
                <w:rFonts w:ascii="Times New Roman" w:eastAsia="Calibri" w:hAnsi="Times New Roman" w:cs="Times New Roman"/>
                <w:sz w:val="24"/>
                <w:szCs w:val="24"/>
              </w:rPr>
            </w:pPr>
            <w:r w:rsidRPr="007F5499">
              <w:rPr>
                <w:rFonts w:ascii="Times New Roman" w:eastAsia="Calibri" w:hAnsi="Times New Roman" w:cs="Times New Roman"/>
                <w:sz w:val="24"/>
                <w:szCs w:val="24"/>
              </w:rPr>
              <w:t>0.234***</w:t>
            </w:r>
          </w:p>
        </w:tc>
        <w:tc>
          <w:tcPr>
            <w:tcW w:w="1749" w:type="dxa"/>
            <w:shd w:val="clear" w:color="auto" w:fill="auto"/>
            <w:tcMar>
              <w:top w:w="72" w:type="dxa"/>
              <w:left w:w="144" w:type="dxa"/>
              <w:bottom w:w="72" w:type="dxa"/>
              <w:right w:w="144" w:type="dxa"/>
            </w:tcMar>
            <w:vAlign w:val="center"/>
          </w:tcPr>
          <w:p w14:paraId="02E68AC7"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0.215***</w:t>
            </w:r>
          </w:p>
        </w:tc>
      </w:tr>
      <w:tr w:rsidR="00946E2E" w14:paraId="7A84BB50" w14:textId="77777777" w:rsidTr="00B5111F">
        <w:trPr>
          <w:trHeight w:val="272"/>
        </w:trPr>
        <w:tc>
          <w:tcPr>
            <w:tcW w:w="2399" w:type="dxa"/>
            <w:shd w:val="clear" w:color="auto" w:fill="auto"/>
            <w:tcMar>
              <w:top w:w="72" w:type="dxa"/>
              <w:left w:w="144" w:type="dxa"/>
              <w:bottom w:w="72" w:type="dxa"/>
              <w:right w:w="144" w:type="dxa"/>
            </w:tcMar>
            <w:vAlign w:val="center"/>
            <w:hideMark/>
          </w:tcPr>
          <w:p w14:paraId="381FBAAF" w14:textId="5E73FF5E" w:rsidR="000A6C0A" w:rsidRPr="007F5499" w:rsidRDefault="00066F6D" w:rsidP="006656B2">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Cs/>
                <w:color w:val="000000"/>
                <w:kern w:val="24"/>
                <w:sz w:val="24"/>
                <w:szCs w:val="24"/>
                <w:lang w:eastAsia="de-DE"/>
              </w:rPr>
              <w:t>Good governance</w:t>
            </w:r>
          </w:p>
        </w:tc>
        <w:tc>
          <w:tcPr>
            <w:tcW w:w="1748" w:type="dxa"/>
            <w:shd w:val="clear" w:color="auto" w:fill="auto"/>
            <w:tcMar>
              <w:top w:w="15" w:type="dxa"/>
              <w:left w:w="88" w:type="dxa"/>
              <w:bottom w:w="0" w:type="dxa"/>
              <w:right w:w="88" w:type="dxa"/>
            </w:tcMar>
            <w:vAlign w:val="center"/>
          </w:tcPr>
          <w:p w14:paraId="3449A138"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07BAAC6D"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1F75853A" w14:textId="77777777" w:rsidR="000A6C0A" w:rsidRPr="007F5499" w:rsidRDefault="00066F6D" w:rsidP="00DE62D0">
            <w:pPr>
              <w:spacing w:after="0" w:line="240" w:lineRule="auto"/>
              <w:jc w:val="center"/>
              <w:rPr>
                <w:rFonts w:ascii="Times New Roman" w:eastAsia="Calibri" w:hAnsi="Times New Roman" w:cs="Times New Roman"/>
                <w:sz w:val="24"/>
                <w:szCs w:val="24"/>
              </w:rPr>
            </w:pPr>
            <w:r w:rsidRPr="007F5499">
              <w:rPr>
                <w:rFonts w:ascii="Times New Roman" w:eastAsia="Calibri" w:hAnsi="Times New Roman" w:cs="Times New Roman"/>
                <w:sz w:val="24"/>
                <w:szCs w:val="24"/>
              </w:rPr>
              <w:t>0.132**</w:t>
            </w:r>
          </w:p>
        </w:tc>
      </w:tr>
      <w:tr w:rsidR="00946E2E" w14:paraId="7AC1479C" w14:textId="77777777" w:rsidTr="00B5111F">
        <w:trPr>
          <w:trHeight w:val="272"/>
        </w:trPr>
        <w:tc>
          <w:tcPr>
            <w:tcW w:w="2399" w:type="dxa"/>
            <w:shd w:val="clear" w:color="auto" w:fill="auto"/>
            <w:tcMar>
              <w:top w:w="72" w:type="dxa"/>
              <w:left w:w="144" w:type="dxa"/>
              <w:bottom w:w="72" w:type="dxa"/>
              <w:right w:w="144" w:type="dxa"/>
            </w:tcMar>
            <w:vAlign w:val="center"/>
            <w:hideMark/>
          </w:tcPr>
          <w:p w14:paraId="5112E393" w14:textId="77777777" w:rsidR="000A6C0A" w:rsidRPr="007F5499" w:rsidRDefault="00066F6D" w:rsidP="006656B2">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Cs/>
                <w:color w:val="000000"/>
                <w:kern w:val="24"/>
                <w:sz w:val="24"/>
                <w:szCs w:val="24"/>
                <w:lang w:eastAsia="de-DE"/>
              </w:rPr>
              <w:t>New laws</w:t>
            </w:r>
          </w:p>
        </w:tc>
        <w:tc>
          <w:tcPr>
            <w:tcW w:w="1748" w:type="dxa"/>
            <w:shd w:val="clear" w:color="auto" w:fill="auto"/>
            <w:tcMar>
              <w:top w:w="15" w:type="dxa"/>
              <w:left w:w="88" w:type="dxa"/>
              <w:bottom w:w="0" w:type="dxa"/>
              <w:right w:w="88" w:type="dxa"/>
            </w:tcMar>
            <w:vAlign w:val="center"/>
          </w:tcPr>
          <w:p w14:paraId="5CB14D73"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18F526D2" w14:textId="77777777" w:rsidR="000A6C0A" w:rsidRPr="007F5499" w:rsidRDefault="00066F6D" w:rsidP="00DE62D0">
            <w:pPr>
              <w:spacing w:after="0" w:line="240" w:lineRule="auto"/>
              <w:jc w:val="center"/>
              <w:rPr>
                <w:rFonts w:ascii="Times New Roman" w:eastAsia="Calibri" w:hAnsi="Times New Roman" w:cs="Times New Roman"/>
                <w:sz w:val="24"/>
                <w:szCs w:val="24"/>
              </w:rPr>
            </w:pPr>
            <w:r w:rsidRPr="007F5499">
              <w:rPr>
                <w:rFonts w:ascii="Times New Roman" w:eastAsia="Calibri" w:hAnsi="Times New Roman" w:cs="Times New Roman"/>
                <w:sz w:val="24"/>
                <w:szCs w:val="24"/>
              </w:rPr>
              <w:t>-</w:t>
            </w:r>
          </w:p>
        </w:tc>
        <w:tc>
          <w:tcPr>
            <w:tcW w:w="1749" w:type="dxa"/>
            <w:shd w:val="clear" w:color="auto" w:fill="auto"/>
            <w:tcMar>
              <w:top w:w="72" w:type="dxa"/>
              <w:left w:w="144" w:type="dxa"/>
              <w:bottom w:w="72" w:type="dxa"/>
              <w:right w:w="144" w:type="dxa"/>
            </w:tcMar>
            <w:vAlign w:val="center"/>
          </w:tcPr>
          <w:p w14:paraId="0FDF0B4D" w14:textId="77777777" w:rsidR="000A6C0A" w:rsidRPr="007F5499" w:rsidRDefault="00066F6D" w:rsidP="00DE62D0">
            <w:pPr>
              <w:spacing w:after="0" w:line="240" w:lineRule="auto"/>
              <w:jc w:val="center"/>
              <w:rPr>
                <w:rFonts w:ascii="Times New Roman" w:eastAsia="Calibri" w:hAnsi="Times New Roman" w:cs="Times New Roman"/>
                <w:sz w:val="24"/>
                <w:szCs w:val="24"/>
              </w:rPr>
            </w:pPr>
            <w:r w:rsidRPr="007F5499">
              <w:rPr>
                <w:rFonts w:ascii="Times New Roman" w:eastAsia="Calibri" w:hAnsi="Times New Roman" w:cs="Times New Roman"/>
                <w:sz w:val="24"/>
                <w:szCs w:val="24"/>
              </w:rPr>
              <w:t>0.171***</w:t>
            </w:r>
          </w:p>
        </w:tc>
      </w:tr>
      <w:tr w:rsidR="00946E2E" w14:paraId="5AA0A0BB" w14:textId="77777777" w:rsidTr="00B5111F">
        <w:trPr>
          <w:trHeight w:val="272"/>
        </w:trPr>
        <w:tc>
          <w:tcPr>
            <w:tcW w:w="2399" w:type="dxa"/>
            <w:shd w:val="clear" w:color="auto" w:fill="auto"/>
            <w:tcMar>
              <w:top w:w="72" w:type="dxa"/>
              <w:left w:w="144" w:type="dxa"/>
              <w:bottom w:w="72" w:type="dxa"/>
              <w:right w:w="144" w:type="dxa"/>
            </w:tcMar>
            <w:vAlign w:val="center"/>
            <w:hideMark/>
          </w:tcPr>
          <w:p w14:paraId="63E5262E" w14:textId="23189F21" w:rsidR="000A6C0A" w:rsidRPr="007F5499" w:rsidRDefault="00066F6D" w:rsidP="006656B2">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Cs/>
                <w:color w:val="000000"/>
                <w:kern w:val="24"/>
                <w:sz w:val="24"/>
                <w:szCs w:val="24"/>
                <w:lang w:eastAsia="de-DE"/>
              </w:rPr>
              <w:lastRenderedPageBreak/>
              <w:t>Years of employment</w:t>
            </w:r>
            <w:r w:rsidRPr="007F5499">
              <w:rPr>
                <w:rFonts w:ascii="Times New Roman" w:eastAsia="Times New Roman" w:hAnsi="Times New Roman" w:cs="Times New Roman"/>
                <w:bCs/>
                <w:color w:val="000000"/>
                <w:kern w:val="24"/>
                <w:sz w:val="24"/>
                <w:szCs w:val="24"/>
                <w:vertAlign w:val="superscript"/>
                <w:lang w:eastAsia="de-DE"/>
              </w:rPr>
              <w:t>1</w:t>
            </w:r>
          </w:p>
        </w:tc>
        <w:tc>
          <w:tcPr>
            <w:tcW w:w="1748" w:type="dxa"/>
            <w:shd w:val="clear" w:color="auto" w:fill="auto"/>
            <w:tcMar>
              <w:top w:w="15" w:type="dxa"/>
              <w:left w:w="88" w:type="dxa"/>
              <w:bottom w:w="0" w:type="dxa"/>
              <w:right w:w="88" w:type="dxa"/>
            </w:tcMar>
            <w:vAlign w:val="center"/>
          </w:tcPr>
          <w:p w14:paraId="68F68BF3"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5563CFEE"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712CB174" w14:textId="77777777" w:rsidR="000A6C0A"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0.021</w:t>
            </w:r>
          </w:p>
        </w:tc>
      </w:tr>
      <w:tr w:rsidR="00946E2E" w14:paraId="24CDF2B8" w14:textId="77777777" w:rsidTr="00B5111F">
        <w:trPr>
          <w:trHeight w:val="272"/>
        </w:trPr>
        <w:tc>
          <w:tcPr>
            <w:tcW w:w="2399" w:type="dxa"/>
            <w:shd w:val="clear" w:color="auto" w:fill="auto"/>
            <w:tcMar>
              <w:top w:w="72" w:type="dxa"/>
              <w:left w:w="144" w:type="dxa"/>
              <w:bottom w:w="72" w:type="dxa"/>
              <w:right w:w="144" w:type="dxa"/>
            </w:tcMar>
            <w:vAlign w:val="center"/>
            <w:hideMark/>
          </w:tcPr>
          <w:p w14:paraId="5F430DDC" w14:textId="029D70A3" w:rsidR="000A6C0A" w:rsidRPr="007F5499" w:rsidRDefault="00066F6D" w:rsidP="006656B2">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Cs/>
                <w:color w:val="000000"/>
                <w:kern w:val="24"/>
                <w:sz w:val="24"/>
                <w:szCs w:val="24"/>
                <w:lang w:eastAsia="de-DE"/>
              </w:rPr>
              <w:t>Size inhabitants</w:t>
            </w:r>
            <w:r w:rsidRPr="007F5499">
              <w:rPr>
                <w:rFonts w:ascii="Times New Roman" w:eastAsia="Times New Roman" w:hAnsi="Times New Roman" w:cs="Times New Roman"/>
                <w:bCs/>
                <w:color w:val="000000"/>
                <w:kern w:val="24"/>
                <w:sz w:val="24"/>
                <w:szCs w:val="24"/>
                <w:vertAlign w:val="superscript"/>
                <w:lang w:eastAsia="de-DE"/>
              </w:rPr>
              <w:t>1</w:t>
            </w:r>
          </w:p>
        </w:tc>
        <w:tc>
          <w:tcPr>
            <w:tcW w:w="1748" w:type="dxa"/>
            <w:shd w:val="clear" w:color="auto" w:fill="auto"/>
            <w:tcMar>
              <w:top w:w="15" w:type="dxa"/>
              <w:left w:w="88" w:type="dxa"/>
              <w:bottom w:w="0" w:type="dxa"/>
              <w:right w:w="88" w:type="dxa"/>
            </w:tcMar>
            <w:vAlign w:val="center"/>
          </w:tcPr>
          <w:p w14:paraId="2A77884A"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46B450C8"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0E8BD097" w14:textId="77777777" w:rsidR="000A6C0A"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0.072</w:t>
            </w:r>
          </w:p>
        </w:tc>
      </w:tr>
      <w:tr w:rsidR="00946E2E" w14:paraId="371EF1BC" w14:textId="77777777" w:rsidTr="00B5111F">
        <w:trPr>
          <w:trHeight w:val="272"/>
        </w:trPr>
        <w:tc>
          <w:tcPr>
            <w:tcW w:w="2399" w:type="dxa"/>
            <w:shd w:val="clear" w:color="auto" w:fill="auto"/>
            <w:tcMar>
              <w:top w:w="72" w:type="dxa"/>
              <w:left w:w="144" w:type="dxa"/>
              <w:bottom w:w="72" w:type="dxa"/>
              <w:right w:w="144" w:type="dxa"/>
            </w:tcMar>
            <w:vAlign w:val="center"/>
            <w:hideMark/>
          </w:tcPr>
          <w:p w14:paraId="0BE549B9" w14:textId="6CF6C0CE" w:rsidR="000A6C0A" w:rsidRPr="007F5499" w:rsidRDefault="00066F6D" w:rsidP="006656B2">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Cs/>
                <w:color w:val="000000"/>
                <w:kern w:val="24"/>
                <w:sz w:val="24"/>
                <w:szCs w:val="24"/>
                <w:lang w:eastAsia="de-DE"/>
              </w:rPr>
              <w:t>Size employees</w:t>
            </w:r>
            <w:r w:rsidRPr="007F5499">
              <w:rPr>
                <w:rFonts w:ascii="Times New Roman" w:eastAsia="Times New Roman" w:hAnsi="Times New Roman" w:cs="Times New Roman"/>
                <w:bCs/>
                <w:color w:val="000000"/>
                <w:kern w:val="24"/>
                <w:sz w:val="24"/>
                <w:szCs w:val="24"/>
                <w:vertAlign w:val="superscript"/>
                <w:lang w:eastAsia="de-DE"/>
              </w:rPr>
              <w:t>1</w:t>
            </w:r>
          </w:p>
        </w:tc>
        <w:tc>
          <w:tcPr>
            <w:tcW w:w="1748" w:type="dxa"/>
            <w:shd w:val="clear" w:color="auto" w:fill="auto"/>
            <w:tcMar>
              <w:top w:w="15" w:type="dxa"/>
              <w:left w:w="88" w:type="dxa"/>
              <w:bottom w:w="0" w:type="dxa"/>
              <w:right w:w="88" w:type="dxa"/>
            </w:tcMar>
            <w:vAlign w:val="center"/>
          </w:tcPr>
          <w:p w14:paraId="7649FF9E"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w:t>
            </w:r>
          </w:p>
        </w:tc>
        <w:tc>
          <w:tcPr>
            <w:tcW w:w="1749" w:type="dxa"/>
            <w:shd w:val="clear" w:color="auto" w:fill="auto"/>
            <w:tcMar>
              <w:top w:w="72" w:type="dxa"/>
              <w:left w:w="144" w:type="dxa"/>
              <w:bottom w:w="72" w:type="dxa"/>
              <w:right w:w="144" w:type="dxa"/>
            </w:tcMar>
            <w:vAlign w:val="center"/>
          </w:tcPr>
          <w:p w14:paraId="0FE04032" w14:textId="77777777" w:rsidR="000A6C0A" w:rsidRPr="007F5499" w:rsidRDefault="00066F6D" w:rsidP="00DE62D0">
            <w:pPr>
              <w:spacing w:after="0" w:line="240" w:lineRule="auto"/>
              <w:jc w:val="center"/>
              <w:rPr>
                <w:rFonts w:ascii="Times New Roman" w:eastAsia="Calibri" w:hAnsi="Times New Roman" w:cs="Times New Roman"/>
                <w:sz w:val="24"/>
                <w:szCs w:val="24"/>
              </w:rPr>
            </w:pPr>
            <w:r w:rsidRPr="007F5499">
              <w:rPr>
                <w:rFonts w:ascii="Times New Roman" w:eastAsia="Calibri" w:hAnsi="Times New Roman" w:cs="Times New Roman"/>
                <w:sz w:val="24"/>
                <w:szCs w:val="24"/>
              </w:rPr>
              <w:t>-</w:t>
            </w:r>
          </w:p>
        </w:tc>
        <w:tc>
          <w:tcPr>
            <w:tcW w:w="1749" w:type="dxa"/>
            <w:shd w:val="clear" w:color="auto" w:fill="auto"/>
            <w:tcMar>
              <w:top w:w="72" w:type="dxa"/>
              <w:left w:w="144" w:type="dxa"/>
              <w:bottom w:w="72" w:type="dxa"/>
              <w:right w:w="144" w:type="dxa"/>
            </w:tcMar>
            <w:vAlign w:val="center"/>
          </w:tcPr>
          <w:p w14:paraId="290B71F1"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-0.037</w:t>
            </w:r>
          </w:p>
        </w:tc>
      </w:tr>
      <w:tr w:rsidR="00946E2E" w14:paraId="20D041C0" w14:textId="77777777" w:rsidTr="00B5111F">
        <w:trPr>
          <w:trHeight w:val="272"/>
        </w:trPr>
        <w:tc>
          <w:tcPr>
            <w:tcW w:w="2399" w:type="dxa"/>
            <w:shd w:val="clear" w:color="auto" w:fill="auto"/>
            <w:tcMar>
              <w:top w:w="72" w:type="dxa"/>
              <w:left w:w="144" w:type="dxa"/>
              <w:bottom w:w="72" w:type="dxa"/>
              <w:right w:w="144" w:type="dxa"/>
            </w:tcMar>
            <w:vAlign w:val="center"/>
          </w:tcPr>
          <w:p w14:paraId="392C8234" w14:textId="77777777" w:rsidR="000A6C0A" w:rsidRPr="007F5499" w:rsidRDefault="00066F6D" w:rsidP="006656B2">
            <w:pPr>
              <w:spacing w:after="0" w:line="240" w:lineRule="auto"/>
              <w:rPr>
                <w:rFonts w:ascii="Times New Roman" w:eastAsia="Times New Roman" w:hAnsi="Times New Roman" w:cs="Times New Roman"/>
                <w:bCs/>
                <w:color w:val="000000"/>
                <w:kern w:val="24"/>
                <w:sz w:val="24"/>
                <w:szCs w:val="24"/>
                <w:lang w:eastAsia="de-DE"/>
              </w:rPr>
            </w:pPr>
            <w:r w:rsidRPr="007F5499">
              <w:rPr>
                <w:rFonts w:ascii="Times New Roman" w:eastAsia="Times New Roman" w:hAnsi="Times New Roman" w:cs="Times New Roman"/>
                <w:bCs/>
                <w:color w:val="000000"/>
                <w:kern w:val="24"/>
                <w:sz w:val="24"/>
                <w:szCs w:val="24"/>
                <w:lang w:eastAsia="de-DE"/>
              </w:rPr>
              <w:t>Country</w:t>
            </w:r>
            <w:r w:rsidRPr="007F5499">
              <w:rPr>
                <w:rFonts w:ascii="Times New Roman" w:eastAsia="Times New Roman" w:hAnsi="Times New Roman" w:cs="Times New Roman"/>
                <w:bCs/>
                <w:color w:val="000000"/>
                <w:kern w:val="24"/>
                <w:sz w:val="24"/>
                <w:szCs w:val="24"/>
                <w:vertAlign w:val="superscript"/>
                <w:lang w:eastAsia="de-DE"/>
              </w:rPr>
              <w:t>1</w:t>
            </w:r>
          </w:p>
        </w:tc>
        <w:tc>
          <w:tcPr>
            <w:tcW w:w="1748" w:type="dxa"/>
            <w:shd w:val="clear" w:color="auto" w:fill="auto"/>
            <w:tcMar>
              <w:top w:w="15" w:type="dxa"/>
              <w:left w:w="88" w:type="dxa"/>
              <w:bottom w:w="0" w:type="dxa"/>
              <w:right w:w="88" w:type="dxa"/>
            </w:tcMar>
            <w:vAlign w:val="center"/>
          </w:tcPr>
          <w:p w14:paraId="7B8BD49C" w14:textId="77777777" w:rsidR="000A6C0A" w:rsidRPr="007F5499" w:rsidRDefault="00066F6D" w:rsidP="006656B2">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w:t>
            </w:r>
          </w:p>
        </w:tc>
        <w:tc>
          <w:tcPr>
            <w:tcW w:w="1749" w:type="dxa"/>
            <w:shd w:val="clear" w:color="auto" w:fill="auto"/>
            <w:tcMar>
              <w:top w:w="72" w:type="dxa"/>
              <w:left w:w="144" w:type="dxa"/>
              <w:bottom w:w="72" w:type="dxa"/>
              <w:right w:w="144" w:type="dxa"/>
            </w:tcMar>
            <w:vAlign w:val="center"/>
          </w:tcPr>
          <w:p w14:paraId="3E686F11" w14:textId="77777777" w:rsidR="000A6C0A" w:rsidRPr="007F5499" w:rsidRDefault="00066F6D" w:rsidP="006656B2">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w:t>
            </w:r>
          </w:p>
        </w:tc>
        <w:tc>
          <w:tcPr>
            <w:tcW w:w="1749" w:type="dxa"/>
            <w:shd w:val="clear" w:color="auto" w:fill="auto"/>
            <w:tcMar>
              <w:top w:w="72" w:type="dxa"/>
              <w:left w:w="144" w:type="dxa"/>
              <w:bottom w:w="72" w:type="dxa"/>
              <w:right w:w="144" w:type="dxa"/>
            </w:tcMar>
            <w:vAlign w:val="center"/>
          </w:tcPr>
          <w:p w14:paraId="4779A589" w14:textId="77777777" w:rsidR="000A6C0A" w:rsidRPr="007F5499" w:rsidRDefault="00066F6D" w:rsidP="00050F74">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0.068</w:t>
            </w:r>
          </w:p>
        </w:tc>
      </w:tr>
      <w:tr w:rsidR="00946E2E" w14:paraId="5B0A317A" w14:textId="77777777" w:rsidTr="00B5111F">
        <w:trPr>
          <w:trHeight w:val="272"/>
        </w:trPr>
        <w:tc>
          <w:tcPr>
            <w:tcW w:w="2399" w:type="dxa"/>
            <w:shd w:val="clear" w:color="auto" w:fill="auto"/>
            <w:tcMar>
              <w:top w:w="72" w:type="dxa"/>
              <w:left w:w="144" w:type="dxa"/>
              <w:bottom w:w="72" w:type="dxa"/>
              <w:right w:w="144" w:type="dxa"/>
            </w:tcMar>
            <w:vAlign w:val="center"/>
          </w:tcPr>
          <w:p w14:paraId="70773970" w14:textId="514F8364" w:rsidR="000A6C0A" w:rsidRPr="007F5499" w:rsidRDefault="00066F6D" w:rsidP="006656B2">
            <w:pPr>
              <w:spacing w:after="0" w:line="240" w:lineRule="auto"/>
              <w:rPr>
                <w:rFonts w:ascii="Times New Roman" w:eastAsia="Times New Roman" w:hAnsi="Times New Roman" w:cs="Times New Roman"/>
                <w:bCs/>
                <w:color w:val="000000"/>
                <w:kern w:val="24"/>
                <w:sz w:val="24"/>
                <w:szCs w:val="24"/>
                <w:lang w:eastAsia="de-DE"/>
              </w:rPr>
            </w:pPr>
            <w:r w:rsidRPr="007F5499">
              <w:rPr>
                <w:rFonts w:ascii="Times New Roman" w:eastAsia="Times New Roman" w:hAnsi="Times New Roman" w:cs="Times New Roman"/>
                <w:bCs/>
                <w:color w:val="000000"/>
                <w:kern w:val="24"/>
                <w:sz w:val="24"/>
                <w:szCs w:val="24"/>
                <w:lang w:eastAsia="de-DE"/>
              </w:rPr>
              <w:t>Work experience</w:t>
            </w:r>
            <w:r w:rsidRPr="007F5499">
              <w:rPr>
                <w:rFonts w:ascii="Times New Roman" w:eastAsia="Times New Roman" w:hAnsi="Times New Roman" w:cs="Times New Roman"/>
                <w:bCs/>
                <w:color w:val="000000"/>
                <w:kern w:val="24"/>
                <w:sz w:val="24"/>
                <w:szCs w:val="24"/>
                <w:vertAlign w:val="superscript"/>
                <w:lang w:eastAsia="de-DE"/>
              </w:rPr>
              <w:t>1</w:t>
            </w:r>
          </w:p>
        </w:tc>
        <w:tc>
          <w:tcPr>
            <w:tcW w:w="1748" w:type="dxa"/>
            <w:shd w:val="clear" w:color="auto" w:fill="auto"/>
            <w:tcMar>
              <w:top w:w="15" w:type="dxa"/>
              <w:left w:w="88" w:type="dxa"/>
              <w:bottom w:w="0" w:type="dxa"/>
              <w:right w:w="88" w:type="dxa"/>
            </w:tcMar>
            <w:vAlign w:val="center"/>
          </w:tcPr>
          <w:p w14:paraId="28E383F6" w14:textId="77777777" w:rsidR="000A6C0A" w:rsidRPr="007F5499" w:rsidRDefault="00066F6D" w:rsidP="006656B2">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w:t>
            </w:r>
          </w:p>
        </w:tc>
        <w:tc>
          <w:tcPr>
            <w:tcW w:w="1749" w:type="dxa"/>
            <w:shd w:val="clear" w:color="auto" w:fill="auto"/>
            <w:tcMar>
              <w:top w:w="72" w:type="dxa"/>
              <w:left w:w="144" w:type="dxa"/>
              <w:bottom w:w="72" w:type="dxa"/>
              <w:right w:w="144" w:type="dxa"/>
            </w:tcMar>
            <w:vAlign w:val="center"/>
          </w:tcPr>
          <w:p w14:paraId="3B4A3B06" w14:textId="77777777" w:rsidR="000A6C0A" w:rsidRPr="007F5499" w:rsidRDefault="00066F6D" w:rsidP="006656B2">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w:t>
            </w:r>
          </w:p>
        </w:tc>
        <w:tc>
          <w:tcPr>
            <w:tcW w:w="1749" w:type="dxa"/>
            <w:shd w:val="clear" w:color="auto" w:fill="auto"/>
            <w:tcMar>
              <w:top w:w="72" w:type="dxa"/>
              <w:left w:w="144" w:type="dxa"/>
              <w:bottom w:w="72" w:type="dxa"/>
              <w:right w:w="144" w:type="dxa"/>
            </w:tcMar>
            <w:vAlign w:val="center"/>
          </w:tcPr>
          <w:p w14:paraId="29C73A09" w14:textId="77777777" w:rsidR="000A6C0A" w:rsidRPr="007F5499" w:rsidRDefault="00066F6D" w:rsidP="00050F74">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0.000</w:t>
            </w:r>
          </w:p>
        </w:tc>
      </w:tr>
      <w:tr w:rsidR="00946E2E" w14:paraId="2CFE0671" w14:textId="77777777" w:rsidTr="00B5111F">
        <w:trPr>
          <w:trHeight w:val="272"/>
        </w:trPr>
        <w:tc>
          <w:tcPr>
            <w:tcW w:w="2399" w:type="dxa"/>
            <w:shd w:val="clear" w:color="auto" w:fill="auto"/>
            <w:tcMar>
              <w:top w:w="72" w:type="dxa"/>
              <w:left w:w="144" w:type="dxa"/>
              <w:bottom w:w="72" w:type="dxa"/>
              <w:right w:w="144" w:type="dxa"/>
            </w:tcMar>
            <w:vAlign w:val="center"/>
          </w:tcPr>
          <w:p w14:paraId="3118F6BA" w14:textId="77777777" w:rsidR="000A6C0A" w:rsidRPr="007F5499" w:rsidRDefault="00066F6D" w:rsidP="006656B2">
            <w:pPr>
              <w:spacing w:after="0" w:line="240" w:lineRule="auto"/>
              <w:rPr>
                <w:rFonts w:ascii="Times New Roman" w:eastAsia="Times New Roman" w:hAnsi="Times New Roman" w:cs="Times New Roman"/>
                <w:bCs/>
                <w:color w:val="000000"/>
                <w:kern w:val="24"/>
                <w:sz w:val="24"/>
                <w:szCs w:val="24"/>
                <w:lang w:eastAsia="de-DE"/>
              </w:rPr>
            </w:pPr>
            <w:r w:rsidRPr="007F5499">
              <w:rPr>
                <w:rFonts w:ascii="Times New Roman" w:eastAsia="Times New Roman" w:hAnsi="Times New Roman" w:cs="Times New Roman"/>
                <w:bCs/>
                <w:color w:val="000000"/>
                <w:kern w:val="24"/>
                <w:sz w:val="24"/>
                <w:szCs w:val="24"/>
                <w:lang w:eastAsia="de-DE"/>
              </w:rPr>
              <w:t>Type</w:t>
            </w:r>
            <w:r w:rsidRPr="007F5499">
              <w:rPr>
                <w:rFonts w:ascii="Times New Roman" w:eastAsia="Times New Roman" w:hAnsi="Times New Roman" w:cs="Times New Roman"/>
                <w:bCs/>
                <w:color w:val="000000"/>
                <w:kern w:val="24"/>
                <w:sz w:val="24"/>
                <w:szCs w:val="24"/>
                <w:vertAlign w:val="superscript"/>
                <w:lang w:eastAsia="de-DE"/>
              </w:rPr>
              <w:t>1</w:t>
            </w:r>
          </w:p>
        </w:tc>
        <w:tc>
          <w:tcPr>
            <w:tcW w:w="1748" w:type="dxa"/>
            <w:shd w:val="clear" w:color="auto" w:fill="auto"/>
            <w:tcMar>
              <w:top w:w="15" w:type="dxa"/>
              <w:left w:w="88" w:type="dxa"/>
              <w:bottom w:w="0" w:type="dxa"/>
              <w:right w:w="88" w:type="dxa"/>
            </w:tcMar>
            <w:vAlign w:val="center"/>
          </w:tcPr>
          <w:p w14:paraId="25BE1C82" w14:textId="77777777" w:rsidR="000A6C0A" w:rsidRPr="007F5499" w:rsidRDefault="00066F6D" w:rsidP="006656B2">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w:t>
            </w:r>
          </w:p>
        </w:tc>
        <w:tc>
          <w:tcPr>
            <w:tcW w:w="1749" w:type="dxa"/>
            <w:shd w:val="clear" w:color="auto" w:fill="auto"/>
            <w:tcMar>
              <w:top w:w="72" w:type="dxa"/>
              <w:left w:w="144" w:type="dxa"/>
              <w:bottom w:w="72" w:type="dxa"/>
              <w:right w:w="144" w:type="dxa"/>
            </w:tcMar>
            <w:vAlign w:val="center"/>
          </w:tcPr>
          <w:p w14:paraId="09586007" w14:textId="77777777" w:rsidR="000A6C0A" w:rsidRPr="007F5499" w:rsidRDefault="00066F6D" w:rsidP="006656B2">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w:t>
            </w:r>
          </w:p>
        </w:tc>
        <w:tc>
          <w:tcPr>
            <w:tcW w:w="1749" w:type="dxa"/>
            <w:shd w:val="clear" w:color="auto" w:fill="auto"/>
            <w:tcMar>
              <w:top w:w="72" w:type="dxa"/>
              <w:left w:w="144" w:type="dxa"/>
              <w:bottom w:w="72" w:type="dxa"/>
              <w:right w:w="144" w:type="dxa"/>
            </w:tcMar>
            <w:vAlign w:val="center"/>
          </w:tcPr>
          <w:p w14:paraId="1E6893E2" w14:textId="77777777" w:rsidR="000A6C0A" w:rsidRPr="007F5499" w:rsidRDefault="00066F6D" w:rsidP="00050F74">
            <w:pPr>
              <w:spacing w:after="0" w:line="240" w:lineRule="auto"/>
              <w:jc w:val="center"/>
              <w:rPr>
                <w:rFonts w:ascii="Times New Roman" w:eastAsia="Times New Roman" w:hAnsi="Times New Roman" w:cs="Times New Roman"/>
                <w:color w:val="000000"/>
                <w:kern w:val="24"/>
                <w:sz w:val="24"/>
                <w:szCs w:val="24"/>
                <w:lang w:eastAsia="de-DE"/>
              </w:rPr>
            </w:pPr>
            <w:r w:rsidRPr="007F5499">
              <w:rPr>
                <w:rFonts w:ascii="Times New Roman" w:eastAsia="Times New Roman" w:hAnsi="Times New Roman" w:cs="Times New Roman"/>
                <w:color w:val="000000"/>
                <w:kern w:val="24"/>
                <w:sz w:val="24"/>
                <w:szCs w:val="24"/>
                <w:lang w:eastAsia="de-DE"/>
              </w:rPr>
              <w:t>-0.009</w:t>
            </w:r>
          </w:p>
        </w:tc>
      </w:tr>
      <w:tr w:rsidR="00946E2E" w14:paraId="61861FB6" w14:textId="77777777" w:rsidTr="00B5111F">
        <w:trPr>
          <w:trHeight w:val="272"/>
        </w:trPr>
        <w:tc>
          <w:tcPr>
            <w:tcW w:w="2399" w:type="dxa"/>
            <w:shd w:val="clear" w:color="auto" w:fill="auto"/>
            <w:tcMar>
              <w:top w:w="72" w:type="dxa"/>
              <w:left w:w="144" w:type="dxa"/>
              <w:bottom w:w="72" w:type="dxa"/>
              <w:right w:w="144" w:type="dxa"/>
            </w:tcMar>
            <w:vAlign w:val="center"/>
            <w:hideMark/>
          </w:tcPr>
          <w:p w14:paraId="2849DF84" w14:textId="77777777" w:rsidR="000A6C0A" w:rsidRPr="007F5499" w:rsidRDefault="00066F6D" w:rsidP="006656B2">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kern w:val="24"/>
                <w:sz w:val="24"/>
                <w:szCs w:val="24"/>
                <w:lang w:eastAsia="de-DE"/>
              </w:rPr>
              <w:t>R Square</w:t>
            </w:r>
          </w:p>
        </w:tc>
        <w:tc>
          <w:tcPr>
            <w:tcW w:w="1748" w:type="dxa"/>
            <w:shd w:val="clear" w:color="auto" w:fill="auto"/>
            <w:tcMar>
              <w:top w:w="15" w:type="dxa"/>
              <w:left w:w="88" w:type="dxa"/>
              <w:bottom w:w="0" w:type="dxa"/>
              <w:right w:w="88" w:type="dxa"/>
            </w:tcMar>
            <w:vAlign w:val="center"/>
            <w:hideMark/>
          </w:tcPr>
          <w:p w14:paraId="351082DA"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0.019</w:t>
            </w:r>
          </w:p>
        </w:tc>
        <w:tc>
          <w:tcPr>
            <w:tcW w:w="1749" w:type="dxa"/>
            <w:shd w:val="clear" w:color="auto" w:fill="auto"/>
            <w:tcMar>
              <w:top w:w="72" w:type="dxa"/>
              <w:left w:w="144" w:type="dxa"/>
              <w:bottom w:w="72" w:type="dxa"/>
              <w:right w:w="144" w:type="dxa"/>
            </w:tcMar>
            <w:vAlign w:val="center"/>
            <w:hideMark/>
          </w:tcPr>
          <w:p w14:paraId="5578AC00"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rPr>
              <w:t>0.055</w:t>
            </w:r>
          </w:p>
        </w:tc>
        <w:tc>
          <w:tcPr>
            <w:tcW w:w="1749" w:type="dxa"/>
            <w:shd w:val="clear" w:color="auto" w:fill="auto"/>
            <w:tcMar>
              <w:top w:w="72" w:type="dxa"/>
              <w:left w:w="144" w:type="dxa"/>
              <w:bottom w:w="72" w:type="dxa"/>
              <w:right w:w="144" w:type="dxa"/>
            </w:tcMar>
            <w:vAlign w:val="center"/>
            <w:hideMark/>
          </w:tcPr>
          <w:p w14:paraId="116B6ECB" w14:textId="77777777" w:rsidR="000A6C0A"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rPr>
              <w:t>0.132</w:t>
            </w:r>
          </w:p>
        </w:tc>
      </w:tr>
      <w:tr w:rsidR="00946E2E" w14:paraId="0A047792" w14:textId="77777777" w:rsidTr="00B5111F">
        <w:trPr>
          <w:trHeight w:val="272"/>
        </w:trPr>
        <w:tc>
          <w:tcPr>
            <w:tcW w:w="2399" w:type="dxa"/>
            <w:shd w:val="clear" w:color="auto" w:fill="auto"/>
            <w:tcMar>
              <w:top w:w="72" w:type="dxa"/>
              <w:left w:w="144" w:type="dxa"/>
              <w:bottom w:w="72" w:type="dxa"/>
              <w:right w:w="144" w:type="dxa"/>
            </w:tcMar>
            <w:vAlign w:val="center"/>
            <w:hideMark/>
          </w:tcPr>
          <w:p w14:paraId="717B6B45" w14:textId="72707B1A" w:rsidR="000A6C0A" w:rsidRPr="007F5499" w:rsidRDefault="00066F6D" w:rsidP="006656B2">
            <w:pPr>
              <w:spacing w:after="0" w:line="240" w:lineRule="auto"/>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kern w:val="24"/>
                <w:sz w:val="24"/>
                <w:szCs w:val="24"/>
                <w:lang w:eastAsia="de-DE"/>
              </w:rPr>
              <w:t>R Square adjusted</w:t>
            </w:r>
          </w:p>
        </w:tc>
        <w:tc>
          <w:tcPr>
            <w:tcW w:w="1748" w:type="dxa"/>
            <w:shd w:val="clear" w:color="auto" w:fill="auto"/>
            <w:tcMar>
              <w:top w:w="15" w:type="dxa"/>
              <w:left w:w="88" w:type="dxa"/>
              <w:bottom w:w="0" w:type="dxa"/>
              <w:right w:w="88" w:type="dxa"/>
            </w:tcMar>
            <w:vAlign w:val="center"/>
            <w:hideMark/>
          </w:tcPr>
          <w:p w14:paraId="26CF3453"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sz w:val="24"/>
                <w:szCs w:val="24"/>
                <w:lang w:eastAsia="de-DE"/>
              </w:rPr>
              <w:t>0.017</w:t>
            </w:r>
          </w:p>
        </w:tc>
        <w:tc>
          <w:tcPr>
            <w:tcW w:w="1749" w:type="dxa"/>
            <w:shd w:val="clear" w:color="auto" w:fill="auto"/>
            <w:tcMar>
              <w:top w:w="72" w:type="dxa"/>
              <w:left w:w="144" w:type="dxa"/>
              <w:bottom w:w="72" w:type="dxa"/>
              <w:right w:w="144" w:type="dxa"/>
            </w:tcMar>
            <w:vAlign w:val="center"/>
            <w:hideMark/>
          </w:tcPr>
          <w:p w14:paraId="76170A2C" w14:textId="77777777" w:rsidR="000A6C0A" w:rsidRPr="007F5499" w:rsidRDefault="00066F6D" w:rsidP="006656B2">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rPr>
              <w:t>0.053</w:t>
            </w:r>
          </w:p>
        </w:tc>
        <w:tc>
          <w:tcPr>
            <w:tcW w:w="1749" w:type="dxa"/>
            <w:shd w:val="clear" w:color="auto" w:fill="auto"/>
            <w:tcMar>
              <w:top w:w="72" w:type="dxa"/>
              <w:left w:w="144" w:type="dxa"/>
              <w:bottom w:w="72" w:type="dxa"/>
              <w:right w:w="144" w:type="dxa"/>
            </w:tcMar>
            <w:vAlign w:val="center"/>
            <w:hideMark/>
          </w:tcPr>
          <w:p w14:paraId="6CEE38C3" w14:textId="77777777" w:rsidR="000A6C0A" w:rsidRPr="007F5499" w:rsidRDefault="00066F6D" w:rsidP="00050F74">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Calibri" w:hAnsi="Times New Roman" w:cs="Times New Roman"/>
                <w:color w:val="000000"/>
                <w:kern w:val="24"/>
                <w:sz w:val="24"/>
                <w:szCs w:val="24"/>
              </w:rPr>
              <w:t>0.119</w:t>
            </w:r>
          </w:p>
        </w:tc>
      </w:tr>
    </w:tbl>
    <w:p w14:paraId="686BD0B6" w14:textId="1823366A" w:rsidR="000A6C0A" w:rsidRPr="007F5499" w:rsidRDefault="00066F6D" w:rsidP="006656B2">
      <w:pPr>
        <w:spacing w:before="60" w:after="200" w:line="240" w:lineRule="auto"/>
        <w:contextualSpacing/>
        <w:rPr>
          <w:rFonts w:ascii="Times New Roman" w:hAnsi="Times New Roman" w:cs="Times New Roman"/>
          <w:sz w:val="20"/>
          <w:szCs w:val="20"/>
        </w:rPr>
      </w:pPr>
      <w:r w:rsidRPr="007F5499">
        <w:rPr>
          <w:rFonts w:ascii="Times New Roman" w:hAnsi="Times New Roman" w:cs="Times New Roman"/>
          <w:sz w:val="20"/>
          <w:szCs w:val="20"/>
        </w:rPr>
        <w:t xml:space="preserve">***, **, and * indicate significance at the 1%, 5%, and 10% levels (two-tailed). </w:t>
      </w:r>
      <w:r w:rsidRPr="007F5499">
        <w:rPr>
          <w:rFonts w:ascii="Times New Roman" w:hAnsi="Times New Roman" w:cs="Times New Roman"/>
          <w:sz w:val="20"/>
          <w:szCs w:val="20"/>
        </w:rPr>
        <w:br/>
      </w:r>
      <w:r w:rsidRPr="007F5499">
        <w:rPr>
          <w:rFonts w:ascii="Times New Roman" w:hAnsi="Times New Roman" w:cs="Times New Roman"/>
          <w:sz w:val="20"/>
          <w:szCs w:val="20"/>
          <w:vertAlign w:val="superscript"/>
        </w:rPr>
        <w:t>1</w:t>
      </w:r>
      <w:r w:rsidRPr="007F5499">
        <w:rPr>
          <w:rFonts w:ascii="Times New Roman" w:hAnsi="Times New Roman" w:cs="Times New Roman"/>
          <w:sz w:val="20"/>
          <w:szCs w:val="20"/>
        </w:rPr>
        <w:t xml:space="preserve"> Control variables.</w:t>
      </w:r>
    </w:p>
    <w:p w14:paraId="0B32CA8F" w14:textId="77777777" w:rsidR="00D87058" w:rsidRPr="007F5499" w:rsidRDefault="00D87058" w:rsidP="00DE62D0">
      <w:pPr>
        <w:spacing w:line="240" w:lineRule="auto"/>
        <w:jc w:val="both"/>
        <w:rPr>
          <w:rFonts w:ascii="Times New Roman" w:hAnsi="Times New Roman" w:cs="Times New Roman"/>
          <w:sz w:val="24"/>
          <w:szCs w:val="24"/>
        </w:rPr>
      </w:pPr>
    </w:p>
    <w:p w14:paraId="36918DC4" w14:textId="09D3C2E6" w:rsidR="006F452B"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Table 3 illustrates that no control variable shows a significant effect (p-value &lt; 0.05). Including the control variables in the research model means that other path relationships in the model are adjusted for the possible influence of a control variable.</w:t>
      </w:r>
    </w:p>
    <w:p w14:paraId="08F86C6D" w14:textId="01A0BB2D" w:rsidR="00D87058"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The path coefficient of “digitalized communication” to “effectiveness” is highly significant (0.215; p &lt; 0.01), which supports H1. In H1</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we hypothesized that the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-19-accelerated use of digitalized communication tools by local administrative units has a positive effect on the effectiveness of the administrative units.</w:t>
      </w:r>
    </w:p>
    <w:p w14:paraId="3D644B5E" w14:textId="718DFC80" w:rsidR="00760047"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To assess the mediation effect, we follow Nitzl et al.</w:t>
      </w:r>
      <w:r w:rsidRPr="007F5499">
        <w:rPr>
          <w:rFonts w:ascii="Times New Roman" w:eastAsia="Calibri" w:hAnsi="Times New Roman" w:cs="Times New Roman"/>
          <w:sz w:val="24"/>
          <w:szCs w:val="24"/>
        </w:rPr>
        <w:t>’s</w:t>
      </w:r>
      <w:r w:rsidRPr="007F5499">
        <w:rPr>
          <w:rFonts w:ascii="Times New Roman" w:hAnsi="Times New Roman" w:cs="Times New Roman"/>
          <w:sz w:val="24"/>
          <w:szCs w:val="24"/>
        </w:rPr>
        <w:t xml:space="preserve"> (2016) and Sarstedt et al.’s (2020) approach by using PLS-SEM. According to Nitzl et al. (2016), mediation exists if the indirect effect is significant. If the direct effect is non-significant, full mediation is in place; otherwise, partial mediation exists. The results for the total, indirect, and direct effects, as well as the bias-corrected confidence intervals with a two-tailed significance level of 0.05, are presented in </w:t>
      </w:r>
      <w:r w:rsidRPr="007F5499">
        <w:rPr>
          <w:rFonts w:ascii="Times New Roman" w:eastAsia="Calibri" w:hAnsi="Times New Roman" w:cs="Times New Roman"/>
          <w:sz w:val="24"/>
          <w:szCs w:val="24"/>
        </w:rPr>
        <w:t>Table</w:t>
      </w:r>
      <w:r w:rsidRPr="007F5499">
        <w:rPr>
          <w:rFonts w:ascii="Times New Roman" w:hAnsi="Times New Roman" w:cs="Times New Roman"/>
          <w:sz w:val="24"/>
          <w:szCs w:val="24"/>
        </w:rPr>
        <w:t xml:space="preserve"> 4. If zero is not included in the confidence interval, this indicates that the effect is significant at the level of 0.05.</w:t>
      </w:r>
    </w:p>
    <w:p w14:paraId="17F200A6" w14:textId="77777777" w:rsidR="00AD79DB" w:rsidRPr="007F5499" w:rsidRDefault="00AD79DB" w:rsidP="00DE62D0">
      <w:pPr>
        <w:spacing w:line="240" w:lineRule="auto"/>
        <w:jc w:val="both"/>
        <w:rPr>
          <w:rFonts w:ascii="Times New Roman" w:hAnsi="Times New Roman" w:cs="Times New Roman"/>
          <w:sz w:val="24"/>
          <w:szCs w:val="24"/>
        </w:rPr>
      </w:pPr>
    </w:p>
    <w:p w14:paraId="1F20C884" w14:textId="77777777" w:rsidR="002E5A4D" w:rsidRPr="007F5499" w:rsidRDefault="00066F6D" w:rsidP="002E5A4D">
      <w:pPr>
        <w:spacing w:line="240" w:lineRule="auto"/>
        <w:jc w:val="both"/>
        <w:rPr>
          <w:rFonts w:ascii="Times New Roman" w:eastAsia="Times New Roman" w:hAnsi="Times New Roman" w:cs="Times New Roman"/>
          <w:i/>
          <w:sz w:val="24"/>
          <w:szCs w:val="24"/>
          <w:lang w:eastAsia="de-DE"/>
        </w:rPr>
      </w:pPr>
      <w:r w:rsidRPr="007F5499">
        <w:rPr>
          <w:rFonts w:ascii="Times New Roman" w:eastAsia="Times New Roman" w:hAnsi="Times New Roman" w:cs="Times New Roman"/>
          <w:i/>
          <w:color w:val="000000"/>
          <w:sz w:val="24"/>
          <w:szCs w:val="24"/>
          <w:lang w:eastAsia="de-DE"/>
        </w:rPr>
        <w:t>Table 4: Mediation analysis.</w:t>
      </w:r>
    </w:p>
    <w:tbl>
      <w:tblPr>
        <w:tblW w:w="9396" w:type="dxa"/>
        <w:tblCellMar>
          <w:top w:w="15" w:type="dxa"/>
          <w:left w:w="15" w:type="dxa"/>
          <w:bottom w:w="15" w:type="dxa"/>
          <w:right w:w="15" w:type="dxa"/>
        </w:tblCellMar>
        <w:tblLook w:val="04A0" w:firstRow="1" w:lastRow="0" w:firstColumn="1" w:lastColumn="0" w:noHBand="0" w:noVBand="1"/>
      </w:tblPr>
      <w:tblGrid>
        <w:gridCol w:w="1540"/>
        <w:gridCol w:w="1172"/>
        <w:gridCol w:w="1114"/>
        <w:gridCol w:w="1114"/>
        <w:gridCol w:w="1114"/>
        <w:gridCol w:w="1114"/>
        <w:gridCol w:w="1114"/>
        <w:gridCol w:w="1114"/>
      </w:tblGrid>
      <w:tr w:rsidR="00946E2E" w14:paraId="0848EED3" w14:textId="77777777" w:rsidTr="00A47DB6">
        <w:trPr>
          <w:trHeight w:val="311"/>
        </w:trPr>
        <w:tc>
          <w:tcPr>
            <w:tcW w:w="1540" w:type="dxa"/>
            <w:vMerge w:val="restart"/>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47B9339D"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Relations</w:t>
            </w:r>
          </w:p>
          <w:p w14:paraId="26FDE8B3" w14:textId="77777777" w:rsidR="002E5A4D" w:rsidRPr="007F5499" w:rsidRDefault="00066F6D" w:rsidP="00EB2E53">
            <w:pPr>
              <w:spacing w:after="0" w:line="240" w:lineRule="auto"/>
              <w:ind w:left="720"/>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 </w:t>
            </w:r>
          </w:p>
        </w:tc>
        <w:tc>
          <w:tcPr>
            <w:tcW w:w="1172" w:type="dxa"/>
            <w:vMerge w:val="restart"/>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75D4EC9F"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Hypotheses</w:t>
            </w:r>
            <w:r w:rsidRPr="00A47DB6">
              <w:rPr>
                <w:rFonts w:ascii="Times New Roman" w:hAnsi="Times New Roman"/>
                <w:b/>
                <w:color w:val="000000"/>
                <w:sz w:val="18"/>
                <w:vertAlign w:val="superscript"/>
              </w:rPr>
              <w:t>2</w:t>
            </w:r>
          </w:p>
          <w:p w14:paraId="0486888D" w14:textId="77777777" w:rsidR="002E5A4D" w:rsidRPr="007F5499" w:rsidRDefault="00066F6D" w:rsidP="00EB2E53">
            <w:pPr>
              <w:spacing w:after="0" w:line="240" w:lineRule="auto"/>
              <w:ind w:left="720"/>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 </w:t>
            </w:r>
          </w:p>
        </w:tc>
        <w:tc>
          <w:tcPr>
            <w:tcW w:w="2228" w:type="dxa"/>
            <w:gridSpan w:val="2"/>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hideMark/>
          </w:tcPr>
          <w:p w14:paraId="38313535" w14:textId="77777777" w:rsidR="002E5A4D" w:rsidRPr="007F5499" w:rsidRDefault="00066F6D" w:rsidP="00EB2E53">
            <w:pPr>
              <w:spacing w:after="0" w:line="240" w:lineRule="auto"/>
              <w:ind w:left="720"/>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Total Effect</w:t>
            </w:r>
          </w:p>
        </w:tc>
        <w:tc>
          <w:tcPr>
            <w:tcW w:w="2228" w:type="dxa"/>
            <w:gridSpan w:val="2"/>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hideMark/>
          </w:tcPr>
          <w:p w14:paraId="52D2FDA2" w14:textId="77777777" w:rsidR="002E5A4D" w:rsidRPr="007F5499" w:rsidRDefault="00066F6D" w:rsidP="00EB2E53">
            <w:pPr>
              <w:spacing w:after="0" w:line="240" w:lineRule="auto"/>
              <w:ind w:left="720"/>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Indirect Effects</w:t>
            </w:r>
            <w:r w:rsidRPr="00A47DB6">
              <w:rPr>
                <w:rFonts w:ascii="Times New Roman" w:hAnsi="Times New Roman"/>
                <w:b/>
                <w:color w:val="000000"/>
                <w:sz w:val="18"/>
                <w:vertAlign w:val="superscript"/>
              </w:rPr>
              <w:t>3</w:t>
            </w:r>
          </w:p>
        </w:tc>
        <w:tc>
          <w:tcPr>
            <w:tcW w:w="2228" w:type="dxa"/>
            <w:gridSpan w:val="2"/>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hideMark/>
          </w:tcPr>
          <w:p w14:paraId="0358FF5B" w14:textId="77777777" w:rsidR="002E5A4D" w:rsidRPr="007F5499" w:rsidRDefault="00066F6D" w:rsidP="00EB2E53">
            <w:pPr>
              <w:spacing w:after="0" w:line="240" w:lineRule="auto"/>
              <w:ind w:left="720"/>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Direct Effect</w:t>
            </w:r>
          </w:p>
        </w:tc>
      </w:tr>
      <w:tr w:rsidR="00946E2E" w14:paraId="139B79B2" w14:textId="77777777" w:rsidTr="00A47DB6">
        <w:trPr>
          <w:trHeight w:val="627"/>
        </w:trPr>
        <w:tc>
          <w:tcPr>
            <w:tcW w:w="1540" w:type="dxa"/>
            <w:vMerge/>
            <w:tcBorders>
              <w:top w:val="single" w:sz="8" w:space="0" w:color="000000"/>
              <w:left w:val="single" w:sz="8" w:space="0" w:color="000000"/>
              <w:bottom w:val="single" w:sz="8" w:space="0" w:color="000000"/>
              <w:right w:val="single" w:sz="8" w:space="0" w:color="000000"/>
            </w:tcBorders>
            <w:vAlign w:val="center"/>
            <w:hideMark/>
          </w:tcPr>
          <w:p w14:paraId="70FEC0EF" w14:textId="77777777" w:rsidR="002E5A4D" w:rsidRPr="007F5499" w:rsidRDefault="002E5A4D" w:rsidP="00EB2E53">
            <w:pPr>
              <w:spacing w:after="0" w:line="240" w:lineRule="auto"/>
              <w:rPr>
                <w:rFonts w:ascii="Times New Roman" w:eastAsia="Times New Roman" w:hAnsi="Times New Roman" w:cs="Times New Roman"/>
                <w:sz w:val="24"/>
                <w:szCs w:val="24"/>
                <w:lang w:eastAsia="de-DE"/>
              </w:rPr>
            </w:pPr>
          </w:p>
        </w:tc>
        <w:tc>
          <w:tcPr>
            <w:tcW w:w="1172" w:type="dxa"/>
            <w:vMerge/>
            <w:tcBorders>
              <w:top w:val="single" w:sz="8" w:space="0" w:color="000000"/>
              <w:left w:val="single" w:sz="8" w:space="0" w:color="000000"/>
              <w:bottom w:val="single" w:sz="8" w:space="0" w:color="000000"/>
              <w:right w:val="single" w:sz="8" w:space="0" w:color="000000"/>
            </w:tcBorders>
            <w:vAlign w:val="center"/>
            <w:hideMark/>
          </w:tcPr>
          <w:p w14:paraId="783C7813" w14:textId="77777777" w:rsidR="002E5A4D" w:rsidRPr="007F5499" w:rsidRDefault="002E5A4D" w:rsidP="00EB2E53">
            <w:pPr>
              <w:spacing w:after="0" w:line="240" w:lineRule="auto"/>
              <w:rPr>
                <w:rFonts w:ascii="Times New Roman" w:eastAsia="Times New Roman" w:hAnsi="Times New Roman" w:cs="Times New Roman"/>
                <w:sz w:val="24"/>
                <w:szCs w:val="24"/>
                <w:lang w:eastAsia="de-DE"/>
              </w:rPr>
            </w:pP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42D7566E"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Coefficient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5A1B9898"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95% confidence interval</w:t>
            </w:r>
            <w:r w:rsidRPr="00A47DB6">
              <w:rPr>
                <w:rFonts w:ascii="Times New Roman" w:hAnsi="Times New Roman"/>
                <w:color w:val="000000"/>
                <w:sz w:val="18"/>
                <w:vertAlign w:val="superscript"/>
              </w:rPr>
              <w:t>1</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6FB9E8DD"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Coefficient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4A276AD5"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95% confidence interval</w:t>
            </w:r>
            <w:r w:rsidRPr="00A47DB6">
              <w:rPr>
                <w:rFonts w:ascii="Times New Roman" w:hAnsi="Times New Roman"/>
                <w:color w:val="000000"/>
                <w:sz w:val="18"/>
                <w:vertAlign w:val="superscript"/>
              </w:rPr>
              <w:t>1</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653A53A7"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Coefficient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09A82B8D"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b/>
                <w:bCs/>
                <w:color w:val="000000"/>
                <w:lang w:eastAsia="de-DE"/>
              </w:rPr>
              <w:t>95% confidence interval</w:t>
            </w:r>
            <w:r w:rsidRPr="00A47DB6">
              <w:rPr>
                <w:rFonts w:ascii="Times New Roman" w:hAnsi="Times New Roman"/>
                <w:color w:val="000000"/>
                <w:sz w:val="18"/>
                <w:vertAlign w:val="superscript"/>
              </w:rPr>
              <w:t>1</w:t>
            </w:r>
          </w:p>
        </w:tc>
      </w:tr>
      <w:tr w:rsidR="00946E2E" w14:paraId="6C18AEA0" w14:textId="77777777" w:rsidTr="00A47DB6">
        <w:trPr>
          <w:trHeight w:val="470"/>
        </w:trPr>
        <w:tc>
          <w:tcPr>
            <w:tcW w:w="1540"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4E98615A"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Digitalized communication</w:t>
            </w:r>
          </w:p>
          <w:p w14:paraId="46DBA2AB"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-&gt;</w:t>
            </w:r>
          </w:p>
          <w:p w14:paraId="72FC6651"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lastRenderedPageBreak/>
              <w:t>Effectiveness</w:t>
            </w:r>
          </w:p>
        </w:tc>
        <w:tc>
          <w:tcPr>
            <w:tcW w:w="1172"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57EE165A"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lastRenderedPageBreak/>
              <w:t>H1</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63DC6E4F"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0.269</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1A80B0F5"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[0.173; 0.361]</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56115BD4"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72FCB006"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62F9D87A"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0.215</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25F2BBBB"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[0.125; 0.300]</w:t>
            </w:r>
          </w:p>
        </w:tc>
      </w:tr>
      <w:tr w:rsidR="00946E2E" w14:paraId="2D0BE824" w14:textId="77777777" w:rsidTr="00A47DB6">
        <w:trPr>
          <w:trHeight w:val="405"/>
        </w:trPr>
        <w:tc>
          <w:tcPr>
            <w:tcW w:w="1540"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09F02B16"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Digitalized communication</w:t>
            </w:r>
          </w:p>
          <w:p w14:paraId="5DB1A150"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 -&gt;</w:t>
            </w:r>
          </w:p>
          <w:p w14:paraId="02866E5B" w14:textId="4A21E103" w:rsidR="002E5A4D" w:rsidRDefault="00066F6D" w:rsidP="00EB2E53">
            <w:pPr>
              <w:spacing w:after="0" w:line="240" w:lineRule="auto"/>
              <w:ind w:left="144"/>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New laws</w:t>
            </w:r>
          </w:p>
          <w:p w14:paraId="7A4448EF"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-&gt; Effectiveness</w:t>
            </w:r>
          </w:p>
        </w:tc>
        <w:tc>
          <w:tcPr>
            <w:tcW w:w="1172"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28AEFBA7"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H2a</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5BF905C4"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7B5F10B5"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0910EE29"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0.023</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698D5EDA"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[0.009; 0.044]</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6F7CC7BB"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21073869"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r>
      <w:tr w:rsidR="00946E2E" w14:paraId="3D7E56A7" w14:textId="77777777" w:rsidTr="00A47DB6">
        <w:trPr>
          <w:trHeight w:val="405"/>
        </w:trPr>
        <w:tc>
          <w:tcPr>
            <w:tcW w:w="1540"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3CD5784F"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Digitalized communication</w:t>
            </w:r>
          </w:p>
          <w:p w14:paraId="64753042"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-&gt;</w:t>
            </w:r>
          </w:p>
          <w:p w14:paraId="7EC951B4" w14:textId="10C206B6" w:rsidR="002E5A4D" w:rsidRDefault="00066F6D" w:rsidP="00EB2E53">
            <w:pPr>
              <w:spacing w:after="0" w:line="240" w:lineRule="auto"/>
              <w:ind w:left="144"/>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Good governance</w:t>
            </w:r>
          </w:p>
          <w:p w14:paraId="0C505EA7" w14:textId="77777777" w:rsidR="002E5A4D" w:rsidRPr="007F5499" w:rsidRDefault="00066F6D" w:rsidP="00EB2E53">
            <w:pPr>
              <w:spacing w:after="0" w:line="240" w:lineRule="auto"/>
              <w:ind w:left="144"/>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-&gt; Effectiveness</w:t>
            </w:r>
          </w:p>
        </w:tc>
        <w:tc>
          <w:tcPr>
            <w:tcW w:w="1172"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024BF4AE"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H2b</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36F659AE"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23DB30F8"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2AF272E3"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0.031</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322E2B4F"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[0.014; 0.052]</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30403C0F"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c>
          <w:tcPr>
            <w:tcW w:w="1114" w:type="dxa"/>
            <w:tcBorders>
              <w:top w:val="single" w:sz="8" w:space="0" w:color="000000"/>
              <w:left w:val="single" w:sz="8" w:space="0" w:color="000000"/>
              <w:bottom w:val="single" w:sz="8" w:space="0" w:color="000000"/>
              <w:right w:val="single" w:sz="8" w:space="0" w:color="000000"/>
            </w:tcBorders>
            <w:tcMar>
              <w:top w:w="15" w:type="dxa"/>
              <w:left w:w="11" w:type="dxa"/>
              <w:bottom w:w="0" w:type="dxa"/>
              <w:right w:w="11" w:type="dxa"/>
            </w:tcMar>
            <w:vAlign w:val="center"/>
            <w:hideMark/>
          </w:tcPr>
          <w:p w14:paraId="2B4CD46E" w14:textId="77777777" w:rsidR="002E5A4D" w:rsidRPr="007F5499" w:rsidRDefault="00066F6D" w:rsidP="00EB2E53">
            <w:pPr>
              <w:spacing w:after="0" w:line="240" w:lineRule="auto"/>
              <w:jc w:val="center"/>
              <w:rPr>
                <w:rFonts w:ascii="Times New Roman" w:eastAsia="Times New Roman" w:hAnsi="Times New Roman" w:cs="Times New Roman"/>
                <w:sz w:val="24"/>
                <w:szCs w:val="24"/>
                <w:lang w:eastAsia="de-DE"/>
              </w:rPr>
            </w:pPr>
            <w:r w:rsidRPr="007F5499">
              <w:rPr>
                <w:rFonts w:ascii="Times New Roman" w:eastAsia="Times New Roman" w:hAnsi="Times New Roman" w:cs="Times New Roman"/>
                <w:color w:val="000000"/>
                <w:lang w:eastAsia="de-DE"/>
              </w:rPr>
              <w:t>-</w:t>
            </w:r>
          </w:p>
        </w:tc>
      </w:tr>
    </w:tbl>
    <w:p w14:paraId="32CF2494" w14:textId="57E9BBF3" w:rsidR="002E5A4D" w:rsidRPr="00DA101E" w:rsidRDefault="00066F6D" w:rsidP="002E5A4D">
      <w:pPr>
        <w:spacing w:line="240" w:lineRule="auto"/>
        <w:jc w:val="both"/>
        <w:rPr>
          <w:rFonts w:ascii="Times New Roman" w:hAnsi="Times New Roman" w:cs="Times New Roman"/>
          <w:sz w:val="18"/>
          <w:szCs w:val="24"/>
        </w:rPr>
      </w:pPr>
      <w:r w:rsidRPr="00DA101E">
        <w:rPr>
          <w:rFonts w:ascii="Times New Roman" w:hAnsi="Times New Roman" w:cs="Times New Roman"/>
          <w:sz w:val="18"/>
          <w:szCs w:val="24"/>
        </w:rPr>
        <w:t>Notes:</w:t>
      </w:r>
      <w:r w:rsidRPr="00DA101E">
        <w:rPr>
          <w:rFonts w:ascii="Times New Roman" w:hAnsi="Times New Roman" w:cs="Times New Roman"/>
          <w:sz w:val="18"/>
          <w:szCs w:val="24"/>
          <w:vertAlign w:val="superscript"/>
        </w:rPr>
        <w:t>1</w:t>
      </w:r>
      <w:r w:rsidRPr="00DA101E">
        <w:rPr>
          <w:rFonts w:ascii="Times New Roman" w:hAnsi="Times New Roman" w:cs="Times New Roman"/>
          <w:sz w:val="18"/>
          <w:szCs w:val="24"/>
        </w:rPr>
        <w:t xml:space="preserve"> If the interval does not include 0, the relation is significant</w:t>
      </w:r>
      <w:r w:rsidR="000B591D">
        <w:rPr>
          <w:rFonts w:ascii="Times New Roman" w:hAnsi="Times New Roman" w:cs="Times New Roman"/>
          <w:sz w:val="18"/>
          <w:szCs w:val="24"/>
        </w:rPr>
        <w:t>.</w:t>
      </w:r>
      <w:r w:rsidRPr="00DA101E">
        <w:rPr>
          <w:rFonts w:ascii="Times New Roman" w:hAnsi="Times New Roman" w:cs="Times New Roman"/>
          <w:sz w:val="18"/>
          <w:szCs w:val="24"/>
          <w:vertAlign w:val="superscript"/>
        </w:rPr>
        <w:t>2</w:t>
      </w:r>
      <w:r w:rsidRPr="00DA101E">
        <w:rPr>
          <w:rFonts w:ascii="Times New Roman" w:hAnsi="Times New Roman" w:cs="Times New Roman"/>
          <w:sz w:val="18"/>
          <w:szCs w:val="24"/>
        </w:rPr>
        <w:t xml:space="preserve"> For mediation, the path coefficients of the respective paths are multiplied</w:t>
      </w:r>
      <w:r w:rsidR="000B591D">
        <w:rPr>
          <w:rFonts w:ascii="Times New Roman" w:hAnsi="Times New Roman" w:cs="Times New Roman"/>
          <w:sz w:val="18"/>
          <w:szCs w:val="24"/>
        </w:rPr>
        <w:t>.</w:t>
      </w:r>
      <w:r w:rsidRPr="00DA101E">
        <w:rPr>
          <w:rFonts w:ascii="Times New Roman" w:hAnsi="Times New Roman" w:cs="Times New Roman"/>
          <w:sz w:val="18"/>
          <w:szCs w:val="24"/>
          <w:vertAlign w:val="superscript"/>
        </w:rPr>
        <w:t>3</w:t>
      </w:r>
      <w:r w:rsidRPr="00DA101E">
        <w:rPr>
          <w:rFonts w:ascii="Times New Roman" w:hAnsi="Times New Roman" w:cs="Times New Roman"/>
          <w:sz w:val="18"/>
          <w:szCs w:val="24"/>
        </w:rPr>
        <w:t xml:space="preserve"> </w:t>
      </w:r>
      <w:r w:rsidR="000B591D">
        <w:rPr>
          <w:rFonts w:ascii="Times New Roman" w:hAnsi="Times New Roman" w:cs="Times New Roman"/>
          <w:sz w:val="18"/>
          <w:szCs w:val="24"/>
        </w:rPr>
        <w:t>M</w:t>
      </w:r>
      <w:r w:rsidRPr="00DA101E">
        <w:rPr>
          <w:rFonts w:ascii="Times New Roman" w:hAnsi="Times New Roman" w:cs="Times New Roman"/>
          <w:sz w:val="18"/>
          <w:szCs w:val="24"/>
        </w:rPr>
        <w:t>ediation exists if the indirect effect is significant. If the direct effect is significant, full mediation is in place. If the direct effect is nonsignificant, either complementary (positive paths) or competitive (negative paths) mediation exists</w:t>
      </w:r>
      <w:r w:rsidR="000B591D">
        <w:rPr>
          <w:rFonts w:ascii="Times New Roman" w:hAnsi="Times New Roman" w:cs="Times New Roman"/>
          <w:sz w:val="18"/>
          <w:szCs w:val="24"/>
        </w:rPr>
        <w:t>.</w:t>
      </w:r>
    </w:p>
    <w:p w14:paraId="3A0FA58A" w14:textId="6160162C" w:rsidR="003041F6"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The statistical interpretation of mediation effects starts with the evaluation of the indirect effects, in our case, H2a and H2b. Because neither of the confidence intervals ([0.009; 0.044] and [0.014; 0.052]) </w:t>
      </w:r>
      <w:r w:rsidRPr="007F5499">
        <w:rPr>
          <w:rFonts w:ascii="Times New Roman" w:eastAsia="Calibri" w:hAnsi="Times New Roman" w:cs="Times New Roman"/>
          <w:sz w:val="24"/>
          <w:szCs w:val="24"/>
        </w:rPr>
        <w:t>include 0,</w:t>
      </w:r>
      <w:r w:rsidRPr="007F5499">
        <w:rPr>
          <w:rFonts w:ascii="Times New Roman" w:hAnsi="Times New Roman" w:cs="Times New Roman"/>
          <w:sz w:val="24"/>
          <w:szCs w:val="24"/>
        </w:rPr>
        <w:t xml:space="preserve"> we can confirm that the orientation to good governance (H2b) </w:t>
      </w:r>
      <w:r w:rsidRPr="007F5499">
        <w:rPr>
          <w:rFonts w:ascii="Times New Roman" w:eastAsia="Calibri" w:hAnsi="Times New Roman" w:cs="Times New Roman"/>
          <w:sz w:val="24"/>
          <w:szCs w:val="24"/>
        </w:rPr>
        <w:t xml:space="preserve">and </w:t>
      </w:r>
      <w:r w:rsidRPr="007F5499">
        <w:rPr>
          <w:rFonts w:ascii="Times New Roman" w:hAnsi="Times New Roman" w:cs="Times New Roman"/>
          <w:sz w:val="24"/>
          <w:szCs w:val="24"/>
        </w:rPr>
        <w:t xml:space="preserve">the degree of new laws (H2a) positively mediate the relationship </w:t>
      </w:r>
      <w:r w:rsidRPr="007F5499">
        <w:rPr>
          <w:rFonts w:ascii="Times New Roman" w:eastAsia="Calibri" w:hAnsi="Times New Roman" w:cs="Times New Roman"/>
          <w:sz w:val="24"/>
          <w:szCs w:val="24"/>
        </w:rPr>
        <w:t>between</w:t>
      </w:r>
      <w:r w:rsidRPr="007F5499">
        <w:rPr>
          <w:rFonts w:ascii="Times New Roman" w:hAnsi="Times New Roman" w:cs="Times New Roman"/>
          <w:sz w:val="24"/>
          <w:szCs w:val="24"/>
        </w:rPr>
        <w:t xml:space="preserve"> the use of digitalized communication tools</w:t>
      </w:r>
      <w:r w:rsidRPr="007F5499">
        <w:rPr>
          <w:rFonts w:ascii="Times New Roman" w:eastAsia="Calibri" w:hAnsi="Times New Roman" w:cs="Times New Roman"/>
          <w:sz w:val="24"/>
          <w:szCs w:val="24"/>
        </w:rPr>
        <w:t xml:space="preserve"> and</w:t>
      </w:r>
      <w:r w:rsidRPr="007F5499">
        <w:rPr>
          <w:rFonts w:ascii="Times New Roman" w:hAnsi="Times New Roman" w:cs="Times New Roman"/>
          <w:sz w:val="24"/>
          <w:szCs w:val="24"/>
        </w:rPr>
        <w:t xml:space="preserve"> the effectiveness of the administration. The confidence interval [0.125; 0.300] for the direct effect of “digitalized communication” </w:t>
      </w:r>
      <w:r w:rsidRPr="007F5499">
        <w:rPr>
          <w:rFonts w:ascii="Times New Roman" w:eastAsia="Calibri" w:hAnsi="Times New Roman" w:cs="Times New Roman"/>
          <w:sz w:val="24"/>
          <w:szCs w:val="24"/>
        </w:rPr>
        <w:t>on</w:t>
      </w:r>
      <w:r w:rsidRPr="007F5499">
        <w:rPr>
          <w:rFonts w:ascii="Times New Roman" w:hAnsi="Times New Roman" w:cs="Times New Roman"/>
          <w:sz w:val="24"/>
          <w:szCs w:val="24"/>
        </w:rPr>
        <w:t xml:space="preserve"> “effectiveness” also does not include 0. Hence, this direct relationship is </w:t>
      </w:r>
      <w:r w:rsidRPr="007F5499">
        <w:rPr>
          <w:rFonts w:ascii="Times New Roman" w:eastAsia="Calibri" w:hAnsi="Times New Roman" w:cs="Times New Roman"/>
          <w:sz w:val="24"/>
          <w:szCs w:val="24"/>
        </w:rPr>
        <w:t>partially</w:t>
      </w:r>
      <w:r w:rsidRPr="007F5499">
        <w:rPr>
          <w:rFonts w:ascii="Times New Roman" w:hAnsi="Times New Roman" w:cs="Times New Roman"/>
          <w:sz w:val="24"/>
          <w:szCs w:val="24"/>
        </w:rPr>
        <w:t xml:space="preserve"> mediated by “new laws” and “good governance”.</w:t>
      </w:r>
    </w:p>
    <w:bookmarkEnd w:id="1"/>
    <w:p w14:paraId="054E72AF" w14:textId="77777777" w:rsidR="00923C07" w:rsidRPr="007F5499" w:rsidRDefault="00923C07" w:rsidP="00DE62D0">
      <w:pPr>
        <w:spacing w:line="240" w:lineRule="auto"/>
        <w:jc w:val="both"/>
        <w:rPr>
          <w:rFonts w:ascii="Times New Roman" w:hAnsi="Times New Roman" w:cs="Times New Roman"/>
          <w:sz w:val="24"/>
          <w:szCs w:val="24"/>
        </w:rPr>
      </w:pPr>
    </w:p>
    <w:p w14:paraId="2D9244FE" w14:textId="77777777" w:rsidR="00C21CA2" w:rsidRPr="007F5499" w:rsidRDefault="00066F6D" w:rsidP="00DE62D0">
      <w:pPr>
        <w:pStyle w:val="berschrift1"/>
        <w:spacing w:line="240" w:lineRule="auto"/>
        <w:jc w:val="both"/>
        <w:rPr>
          <w:rFonts w:ascii="Times New Roman" w:hAnsi="Times New Roman" w:cs="Times New Roman"/>
          <w:b/>
          <w:color w:val="auto"/>
          <w:sz w:val="24"/>
          <w:szCs w:val="24"/>
        </w:rPr>
      </w:pPr>
      <w:r w:rsidRPr="007F5499">
        <w:rPr>
          <w:rFonts w:ascii="Times New Roman" w:hAnsi="Times New Roman" w:cs="Times New Roman"/>
          <w:b/>
          <w:color w:val="auto"/>
          <w:sz w:val="24"/>
          <w:szCs w:val="24"/>
        </w:rPr>
        <w:t>5 Discussion</w:t>
      </w:r>
    </w:p>
    <w:p w14:paraId="5F6D9E8F" w14:textId="77777777" w:rsidR="00CB5338" w:rsidRPr="007F5499" w:rsidRDefault="00CB5338" w:rsidP="00DE62D0">
      <w:pPr>
        <w:spacing w:line="240" w:lineRule="auto"/>
        <w:jc w:val="both"/>
        <w:rPr>
          <w:rFonts w:ascii="Times New Roman" w:hAnsi="Times New Roman" w:cs="Times New Roman"/>
        </w:rPr>
      </w:pPr>
    </w:p>
    <w:p w14:paraId="0B68CF6F" w14:textId="1B65B5C8" w:rsidR="00EA117D"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Local administrative authorities that conduct administrative procedures and provide public services should carry out their tasks with legal soundness and efficiency to comply with good governance principles. They are obliged by definition to search for an equilibrium between public interest protection and supporting the individual parties excising their rights in administrative relations (e.g.</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requiring various permits to run business). However, contemporary changes accompanying the digitalization of work highlight the need for more responsive and efficient ways of communication in public administration. Moreover, the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 pandemic, with the strong limitations of physical contact to minimize infections, requires public administration to continue to execute their competences and to be more flexible in their response to beneficiaries’ claims. In order to verify</w:t>
      </w:r>
      <w:r w:rsidR="00B8584D" w:rsidRPr="007F5499">
        <w:rPr>
          <w:rFonts w:ascii="Times New Roman" w:eastAsia="Calibri" w:hAnsi="Times New Roman" w:cs="Times New Roman"/>
          <w:sz w:val="24"/>
          <w:szCs w:val="24"/>
        </w:rPr>
        <w:t xml:space="preserve"> </w:t>
      </w:r>
      <w:r w:rsidR="001F736A" w:rsidRPr="007F5499">
        <w:rPr>
          <w:rFonts w:ascii="Times New Roman" w:hAnsi="Times New Roman" w:cs="Times New Roman"/>
          <w:sz w:val="24"/>
          <w:szCs w:val="24"/>
        </w:rPr>
        <w:t xml:space="preserve">the main changes in the context of the administrative traditions in five selected central European countries regarding digitalization </w:t>
      </w:r>
      <w:r w:rsidR="001F736A" w:rsidRPr="007F5499">
        <w:rPr>
          <w:rFonts w:ascii="Times New Roman" w:hAnsi="Times New Roman" w:cs="Times New Roman"/>
          <w:sz w:val="24"/>
          <w:szCs w:val="24"/>
        </w:rPr>
        <w:lastRenderedPageBreak/>
        <w:t xml:space="preserve">and good governance, the study was carried out based on the experiences of the first wave of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w:t>
      </w:r>
    </w:p>
    <w:p w14:paraId="4EEA95FD" w14:textId="1C932F65" w:rsidR="00811EBD" w:rsidRPr="007F5499" w:rsidRDefault="001F736A"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We confirm our initial hypothesis that the more intensive use of digitalized communication contributes to the efficiency of public service provision in all five central European countries. The impact of digitalized communication is significant and convergent and seems to last in local public services even after the first wave of the </w:t>
      </w:r>
      <w:r w:rsidR="00B8584D" w:rsidRPr="007F5499">
        <w:rPr>
          <w:rFonts w:ascii="Times New Roman" w:eastAsia="Calibri" w:hAnsi="Times New Roman" w:cs="Times New Roman"/>
          <w:sz w:val="24"/>
          <w:szCs w:val="24"/>
        </w:rPr>
        <w:t>COVID</w:t>
      </w:r>
      <w:r w:rsidR="00066F6D" w:rsidRPr="007F5499">
        <w:rPr>
          <w:rFonts w:ascii="Times New Roman" w:hAnsi="Times New Roman" w:cs="Times New Roman"/>
          <w:sz w:val="24"/>
          <w:szCs w:val="24"/>
        </w:rPr>
        <w:t>-19 pandemic</w:t>
      </w:r>
      <w:r w:rsidR="00B8584D" w:rsidRPr="007F5499">
        <w:rPr>
          <w:rFonts w:ascii="Times New Roman" w:eastAsia="Calibri" w:hAnsi="Times New Roman" w:cs="Times New Roman"/>
          <w:sz w:val="24"/>
          <w:szCs w:val="24"/>
        </w:rPr>
        <w:t>,</w:t>
      </w:r>
      <w:r w:rsidR="00066F6D" w:rsidRPr="007F5499">
        <w:rPr>
          <w:rFonts w:ascii="Times New Roman" w:hAnsi="Times New Roman" w:cs="Times New Roman"/>
          <w:sz w:val="24"/>
          <w:szCs w:val="24"/>
        </w:rPr>
        <w:t xml:space="preserve"> as established by other studies (Bouckaert et al. 2020).</w:t>
      </w:r>
    </w:p>
    <w:p w14:paraId="1888DB63" w14:textId="27FB71A1" w:rsidR="006B6360"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 xml:space="preserve">Our data indicate that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 xml:space="preserve">-19 not only </w:t>
      </w:r>
      <w:r w:rsidR="00B8584D" w:rsidRPr="007F5499">
        <w:rPr>
          <w:rFonts w:ascii="Times New Roman" w:eastAsia="Calibri" w:hAnsi="Times New Roman" w:cs="Times New Roman"/>
          <w:sz w:val="24"/>
          <w:szCs w:val="24"/>
        </w:rPr>
        <w:t xml:space="preserve">brought </w:t>
      </w:r>
      <w:r w:rsidRPr="007F5499">
        <w:rPr>
          <w:rFonts w:ascii="Times New Roman" w:hAnsi="Times New Roman" w:cs="Times New Roman"/>
          <w:sz w:val="24"/>
          <w:szCs w:val="24"/>
        </w:rPr>
        <w:t>new challenges to local administrative authorities but</w:t>
      </w:r>
      <w:r w:rsidR="00B8584D" w:rsidRPr="007F5499">
        <w:rPr>
          <w:rFonts w:ascii="Times New Roman" w:eastAsia="Calibri" w:hAnsi="Times New Roman" w:cs="Times New Roman"/>
          <w:sz w:val="24"/>
          <w:szCs w:val="24"/>
        </w:rPr>
        <w:t xml:space="preserve"> also gave</w:t>
      </w:r>
      <w:r w:rsidRPr="007F5499">
        <w:rPr>
          <w:rFonts w:ascii="Times New Roman" w:hAnsi="Times New Roman" w:cs="Times New Roman"/>
          <w:sz w:val="24"/>
          <w:szCs w:val="24"/>
        </w:rPr>
        <w:t xml:space="preserve"> them the opportunity to use digitalized communication tools more intensively. This has positive effects on the overall administrations’ effectiveness. In detail, the use of e-mail, the existence of a unit-specific website and work with web portals (with e-government) were significant indicators for the “digitalized communication” construct; all of them are channels that have been used by local administrations during the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 xml:space="preserve">-19 pandemic. </w:t>
      </w:r>
      <w:r w:rsidR="00B8584D" w:rsidRPr="007F5499">
        <w:rPr>
          <w:rFonts w:ascii="Times New Roman" w:eastAsia="Calibri" w:hAnsi="Times New Roman" w:cs="Times New Roman"/>
          <w:sz w:val="24"/>
          <w:szCs w:val="24"/>
        </w:rPr>
        <w:t>In particular,</w:t>
      </w:r>
      <w:r w:rsidRPr="007F5499">
        <w:rPr>
          <w:rFonts w:ascii="Times New Roman" w:hAnsi="Times New Roman" w:cs="Times New Roman"/>
          <w:sz w:val="24"/>
          <w:szCs w:val="24"/>
        </w:rPr>
        <w:t xml:space="preserve"> websites and web portals are tools that were and still are typically used for communicating with the “customers” of a local administration, i.e., citizens and other important stakeholders as parties to administrative procedures. This indicates that local administrators already offered digitalized services to </w:t>
      </w:r>
      <w:r w:rsidR="00B8584D" w:rsidRPr="007F5499">
        <w:rPr>
          <w:rFonts w:ascii="Times New Roman" w:eastAsia="Calibri" w:hAnsi="Times New Roman" w:cs="Times New Roman"/>
          <w:sz w:val="24"/>
          <w:szCs w:val="24"/>
        </w:rPr>
        <w:t>their</w:t>
      </w:r>
      <w:r w:rsidRPr="007F5499">
        <w:rPr>
          <w:rFonts w:ascii="Times New Roman" w:hAnsi="Times New Roman" w:cs="Times New Roman"/>
          <w:sz w:val="24"/>
          <w:szCs w:val="24"/>
        </w:rPr>
        <w:t xml:space="preserve"> users, even when they were not legally obliged to do so.</w:t>
      </w:r>
      <w:r w:rsidR="00B8584D" w:rsidRPr="007F5499">
        <w:rPr>
          <w:rFonts w:ascii="Times New Roman" w:eastAsia="Calibri" w:hAnsi="Times New Roman" w:cs="Times New Roman"/>
          <w:sz w:val="24"/>
          <w:szCs w:val="24"/>
        </w:rPr>
        <w:t xml:space="preserve"> For example, the</w:t>
      </w:r>
      <w:r w:rsidRPr="007F5499">
        <w:rPr>
          <w:rFonts w:ascii="Times New Roman" w:hAnsi="Times New Roman" w:cs="Times New Roman"/>
          <w:sz w:val="24"/>
          <w:szCs w:val="24"/>
        </w:rPr>
        <w:t xml:space="preserve"> German Online Access Act (OZG) obliges not only the federal government and the states but also municipalities to deliver public services online by the end of 2022 (Fleischer and Carstens 2021). Therefore, our data from five Central European countries empirically strengthen the observation of Agostino et al. (2021) of a “COVID-19-induced digital acceleration”.</w:t>
      </w:r>
    </w:p>
    <w:p w14:paraId="55551B96" w14:textId="04F4C2C1" w:rsidR="00C817EE" w:rsidRPr="007F5499" w:rsidRDefault="00C87832" w:rsidP="00B341EF">
      <w:pPr>
        <w:spacing w:line="360" w:lineRule="auto"/>
        <w:jc w:val="both"/>
        <w:rPr>
          <w:rFonts w:ascii="Times New Roman" w:hAnsi="Times New Roman" w:cs="Times New Roman"/>
          <w:sz w:val="24"/>
        </w:rPr>
      </w:pPr>
      <w:r w:rsidRPr="007F5499">
        <w:rPr>
          <w:rFonts w:ascii="Times New Roman" w:hAnsi="Times New Roman" w:cs="Times New Roman"/>
          <w:sz w:val="24"/>
        </w:rPr>
        <w:t>Our data also indicate that country-specific administrative traditions have no significant impact on the effectiveness of public institutions. Although we know from prior research that administrative traditions affect administrative structures and reform processes, we do not find any impact of country-specific or even regional traditions within our research model. This is rather surprising</w:t>
      </w:r>
      <w:r w:rsidR="00B8584D" w:rsidRPr="007F5499">
        <w:rPr>
          <w:rFonts w:ascii="Times New Roman" w:eastAsia="Calibri" w:hAnsi="Times New Roman" w:cs="Times New Roman"/>
          <w:sz w:val="24"/>
        </w:rPr>
        <w:t>,</w:t>
      </w:r>
      <w:r w:rsidRPr="007F5499">
        <w:rPr>
          <w:rFonts w:ascii="Times New Roman" w:hAnsi="Times New Roman" w:cs="Times New Roman"/>
          <w:sz w:val="24"/>
        </w:rPr>
        <w:t xml:space="preserve"> as the corresponding literature argues that these traditions would lead to divergence in time and space (Mathis 2014, Kovač et al. 2016, Hammerschmid et al. 2016, Kovač and Bileišis 2017, Kuhlmann and Wollmann 2019). This legacy has been reasoned through historical institutionalism, political and administrative cultures or state traditions and patterns of governance. Previous studies have found that some countries favour more legally determined approaches with all policies enacted through legislation, and </w:t>
      </w:r>
      <w:r w:rsidR="00B8584D" w:rsidRPr="007F5499">
        <w:rPr>
          <w:rFonts w:ascii="Times New Roman" w:eastAsia="Calibri" w:hAnsi="Times New Roman" w:cs="Times New Roman"/>
          <w:sz w:val="24"/>
        </w:rPr>
        <w:t>others</w:t>
      </w:r>
      <w:r w:rsidRPr="007F5499">
        <w:rPr>
          <w:rFonts w:ascii="Times New Roman" w:hAnsi="Times New Roman" w:cs="Times New Roman"/>
          <w:sz w:val="24"/>
        </w:rPr>
        <w:t xml:space="preserve"> prefer more flexible yet perhaps less certain public-legal relations when primarily pursuing principles such </w:t>
      </w:r>
      <w:r w:rsidRPr="007F5499">
        <w:rPr>
          <w:rFonts w:ascii="Times New Roman" w:hAnsi="Times New Roman" w:cs="Times New Roman"/>
          <w:sz w:val="24"/>
        </w:rPr>
        <w:lastRenderedPageBreak/>
        <w:t xml:space="preserve">as efficiency within red tape removals and similar projects, i.e., continental </w:t>
      </w:r>
      <w:r w:rsidRPr="007F5499">
        <w:rPr>
          <w:rFonts w:ascii="Times New Roman" w:hAnsi="Times New Roman" w:cs="Times New Roman"/>
          <w:i/>
          <w:sz w:val="24"/>
        </w:rPr>
        <w:t>Rechtsstaat</w:t>
      </w:r>
      <w:r w:rsidR="001B6C2D" w:rsidRPr="007F5499">
        <w:rPr>
          <w:rFonts w:ascii="Times New Roman" w:hAnsi="Times New Roman" w:cs="Times New Roman"/>
          <w:sz w:val="24"/>
        </w:rPr>
        <w:t xml:space="preserve"> and more authoritative versus participative approaches. We believe that there are three main explanations for why </w:t>
      </w:r>
      <w:r w:rsidR="00B8584D" w:rsidRPr="007F5499">
        <w:rPr>
          <w:rFonts w:ascii="Times New Roman" w:eastAsia="Calibri" w:hAnsi="Times New Roman" w:cs="Times New Roman"/>
          <w:sz w:val="24"/>
        </w:rPr>
        <w:t>COVID</w:t>
      </w:r>
      <w:r w:rsidR="00B8584D" w:rsidRPr="007F5499">
        <w:rPr>
          <w:rFonts w:ascii="Times New Roman" w:hAnsi="Times New Roman" w:cs="Times New Roman"/>
          <w:sz w:val="24"/>
        </w:rPr>
        <w:t xml:space="preserve">-19 accelerated digitalization was not affected </w:t>
      </w:r>
      <w:r w:rsidR="00B8584D" w:rsidRPr="007F5499">
        <w:rPr>
          <w:rFonts w:ascii="Times New Roman" w:eastAsia="Calibri" w:hAnsi="Times New Roman" w:cs="Times New Roman"/>
          <w:sz w:val="24"/>
        </w:rPr>
        <w:t>by</w:t>
      </w:r>
      <w:r w:rsidR="00B8584D" w:rsidRPr="007F5499">
        <w:rPr>
          <w:rFonts w:ascii="Times New Roman" w:hAnsi="Times New Roman" w:cs="Times New Roman"/>
          <w:sz w:val="24"/>
        </w:rPr>
        <w:t xml:space="preserve"> these attributes. First, European legal harmonization and the convergence of administrative work has been relatively strongly developed over time both in Germany, a founding member since 1958, and in the other countries considered in this study, which are so</w:t>
      </w:r>
      <w:r w:rsidR="00B8584D" w:rsidRPr="007F5499">
        <w:rPr>
          <w:rFonts w:ascii="Times New Roman" w:eastAsia="Calibri" w:hAnsi="Times New Roman" w:cs="Times New Roman"/>
          <w:sz w:val="24"/>
        </w:rPr>
        <w:t>-</w:t>
      </w:r>
      <w:r w:rsidR="00B8584D" w:rsidRPr="007F5499">
        <w:rPr>
          <w:rFonts w:ascii="Times New Roman" w:hAnsi="Times New Roman" w:cs="Times New Roman"/>
          <w:sz w:val="24"/>
        </w:rPr>
        <w:t xml:space="preserve">called “new” EU member states: the Czech Republic, Poland, and Slovenia all gained their full membership in 2004, while Romania joined in 2007. Second, the striving for globally acknowledged good governance in modern societies, encompassing not </w:t>
      </w:r>
      <w:r w:rsidR="00B8584D" w:rsidRPr="007F5499">
        <w:rPr>
          <w:rFonts w:ascii="Times New Roman" w:eastAsia="Calibri" w:hAnsi="Times New Roman" w:cs="Times New Roman"/>
          <w:sz w:val="24"/>
        </w:rPr>
        <w:t>only</w:t>
      </w:r>
      <w:r w:rsidR="00B8584D" w:rsidRPr="007F5499">
        <w:rPr>
          <w:rFonts w:ascii="Times New Roman" w:hAnsi="Times New Roman" w:cs="Times New Roman"/>
          <w:sz w:val="24"/>
        </w:rPr>
        <w:t xml:space="preserve"> legality in administrative relations but </w:t>
      </w:r>
      <w:r w:rsidR="00B8584D" w:rsidRPr="007F5499">
        <w:rPr>
          <w:rFonts w:ascii="Times New Roman" w:eastAsia="Calibri" w:hAnsi="Times New Roman" w:cs="Times New Roman"/>
          <w:sz w:val="24"/>
        </w:rPr>
        <w:t xml:space="preserve">also </w:t>
      </w:r>
      <w:r w:rsidR="00B8584D" w:rsidRPr="007F5499">
        <w:rPr>
          <w:rFonts w:ascii="Times New Roman" w:hAnsi="Times New Roman" w:cs="Times New Roman"/>
          <w:sz w:val="24"/>
        </w:rPr>
        <w:t xml:space="preserve">responsiveness, participation, transparency and other contemporary principles, has been pursued by international and national authorities so systematically that the </w:t>
      </w:r>
      <w:r w:rsidR="00B8584D" w:rsidRPr="007F5499">
        <w:rPr>
          <w:rFonts w:ascii="Times New Roman" w:eastAsia="Calibri" w:hAnsi="Times New Roman" w:cs="Times New Roman"/>
          <w:sz w:val="24"/>
        </w:rPr>
        <w:t>COVID</w:t>
      </w:r>
      <w:r w:rsidR="00B8584D" w:rsidRPr="007F5499">
        <w:rPr>
          <w:rFonts w:ascii="Times New Roman" w:hAnsi="Times New Roman" w:cs="Times New Roman"/>
          <w:sz w:val="24"/>
        </w:rPr>
        <w:t xml:space="preserve">-19 crisis not just suggested but required a deviation from former traditionally formalistic approaches. </w:t>
      </w:r>
      <w:r w:rsidR="0081134A">
        <w:rPr>
          <w:rFonts w:ascii="Times New Roman" w:eastAsia="Calibri" w:hAnsi="Times New Roman" w:cs="Times New Roman"/>
          <w:sz w:val="24"/>
        </w:rPr>
        <w:t>Third, our data indicate that during the pandemic</w:t>
      </w:r>
      <w:r w:rsidR="00934BAD">
        <w:rPr>
          <w:rFonts w:ascii="Times New Roman" w:eastAsia="Calibri" w:hAnsi="Times New Roman" w:cs="Times New Roman"/>
          <w:sz w:val="24"/>
        </w:rPr>
        <w:t>,</w:t>
      </w:r>
      <w:r w:rsidR="0081134A">
        <w:rPr>
          <w:rFonts w:ascii="Times New Roman" w:eastAsia="Calibri" w:hAnsi="Times New Roman" w:cs="Times New Roman"/>
          <w:sz w:val="24"/>
        </w:rPr>
        <w:t xml:space="preserve"> more and more users recognized </w:t>
      </w:r>
      <w:r w:rsidR="00F21151">
        <w:rPr>
          <w:rFonts w:ascii="Times New Roman" w:eastAsia="Calibri" w:hAnsi="Times New Roman" w:cs="Times New Roman"/>
          <w:sz w:val="24"/>
        </w:rPr>
        <w:t xml:space="preserve">the </w:t>
      </w:r>
      <w:r w:rsidR="0081134A">
        <w:rPr>
          <w:rFonts w:ascii="Times New Roman" w:eastAsia="Calibri" w:hAnsi="Times New Roman" w:cs="Times New Roman"/>
          <w:sz w:val="24"/>
        </w:rPr>
        <w:t xml:space="preserve">personal benefits </w:t>
      </w:r>
      <w:r w:rsidR="00F21151">
        <w:rPr>
          <w:rFonts w:ascii="Times New Roman" w:eastAsia="Calibri" w:hAnsi="Times New Roman" w:cs="Times New Roman"/>
          <w:sz w:val="24"/>
        </w:rPr>
        <w:t>of</w:t>
      </w:r>
      <w:r w:rsidR="0081134A">
        <w:rPr>
          <w:rFonts w:ascii="Times New Roman" w:eastAsia="Calibri" w:hAnsi="Times New Roman" w:cs="Times New Roman"/>
          <w:sz w:val="24"/>
        </w:rPr>
        <w:t xml:space="preserve"> using digitalized communication tools. </w:t>
      </w:r>
      <w:r w:rsidR="00B8584D" w:rsidRPr="007F5499">
        <w:rPr>
          <w:rFonts w:ascii="Times New Roman" w:hAnsi="Times New Roman" w:cs="Times New Roman"/>
          <w:sz w:val="24"/>
        </w:rPr>
        <w:t xml:space="preserve"> When asked whether they observed any increase in parties using digitalized communication, respondents in all countries observed a major change, especially in </w:t>
      </w:r>
      <w:r w:rsidR="00F14F1A">
        <w:rPr>
          <w:rFonts w:ascii="Times New Roman" w:hAnsi="Times New Roman" w:cs="Times New Roman"/>
          <w:bCs/>
          <w:sz w:val="24"/>
          <w:szCs w:val="24"/>
          <w:lang w:eastAsia="sl-SI"/>
        </w:rPr>
        <w:t xml:space="preserve">Slovenia (with a value of 4.6 in comparison to 3, indicating the same as before COVID-19), followed by Germany (4.3), Romania (4), the Czech Republic (3.9) and Poland (3.8). This indicates that digitalized communication tools – characterized as a form of “advanced information technologies” (Huber 1990) </w:t>
      </w:r>
      <w:r w:rsidR="00934BAD">
        <w:rPr>
          <w:rFonts w:ascii="Times New Roman" w:hAnsi="Times New Roman" w:cs="Times New Roman"/>
          <w:bCs/>
          <w:sz w:val="24"/>
          <w:szCs w:val="24"/>
          <w:lang w:eastAsia="sl-SI"/>
        </w:rPr>
        <w:t>–</w:t>
      </w:r>
      <w:r w:rsidR="00F14F1A">
        <w:rPr>
          <w:rFonts w:ascii="Times New Roman" w:hAnsi="Times New Roman" w:cs="Times New Roman"/>
          <w:bCs/>
          <w:sz w:val="24"/>
          <w:szCs w:val="24"/>
          <w:lang w:eastAsia="sl-SI"/>
        </w:rPr>
        <w:t xml:space="preserve"> may “overrule” country-specific communication traditions.</w:t>
      </w:r>
    </w:p>
    <w:p w14:paraId="3D10334B" w14:textId="7F737A38" w:rsidR="00D915C6" w:rsidRPr="007F5499" w:rsidRDefault="00066F6D" w:rsidP="00B341EF">
      <w:pPr>
        <w:spacing w:line="360" w:lineRule="auto"/>
        <w:jc w:val="both"/>
        <w:rPr>
          <w:rFonts w:ascii="Times New Roman" w:hAnsi="Times New Roman" w:cs="Times New Roman"/>
          <w:sz w:val="24"/>
        </w:rPr>
      </w:pPr>
      <w:r w:rsidRPr="007F5499">
        <w:rPr>
          <w:rFonts w:ascii="Times New Roman" w:hAnsi="Times New Roman" w:cs="Times New Roman"/>
          <w:sz w:val="24"/>
        </w:rPr>
        <w:t xml:space="preserve">Following the above argumentation on the intertwining </w:t>
      </w:r>
      <w:r w:rsidRPr="007F5499">
        <w:rPr>
          <w:rFonts w:ascii="Times New Roman" w:eastAsia="Calibri" w:hAnsi="Times New Roman" w:cs="Times New Roman"/>
          <w:sz w:val="24"/>
        </w:rPr>
        <w:t xml:space="preserve">of </w:t>
      </w:r>
      <w:r w:rsidRPr="007F5499">
        <w:rPr>
          <w:rFonts w:ascii="Times New Roman" w:hAnsi="Times New Roman" w:cs="Times New Roman"/>
          <w:sz w:val="24"/>
        </w:rPr>
        <w:t xml:space="preserve">several administrative principles, H2b is </w:t>
      </w:r>
      <w:r w:rsidRPr="007F5499">
        <w:rPr>
          <w:rFonts w:ascii="Times New Roman" w:eastAsia="Calibri" w:hAnsi="Times New Roman" w:cs="Times New Roman"/>
          <w:sz w:val="24"/>
        </w:rPr>
        <w:t xml:space="preserve">also </w:t>
      </w:r>
      <w:r w:rsidRPr="007F5499">
        <w:rPr>
          <w:rFonts w:ascii="Times New Roman" w:hAnsi="Times New Roman" w:cs="Times New Roman"/>
          <w:sz w:val="24"/>
        </w:rPr>
        <w:t>confirmed</w:t>
      </w:r>
      <w:r w:rsidRPr="007F5499">
        <w:rPr>
          <w:rFonts w:ascii="Times New Roman" w:eastAsia="Calibri" w:hAnsi="Times New Roman" w:cs="Times New Roman"/>
          <w:sz w:val="24"/>
        </w:rPr>
        <w:t>,</w:t>
      </w:r>
      <w:r w:rsidRPr="007F5499">
        <w:rPr>
          <w:rFonts w:ascii="Times New Roman" w:hAnsi="Times New Roman" w:cs="Times New Roman"/>
          <w:sz w:val="24"/>
        </w:rPr>
        <w:t xml:space="preserve"> indicating that an orientation toward good governance positively mediates the impact of the </w:t>
      </w:r>
      <w:r w:rsidRPr="007F5499">
        <w:rPr>
          <w:rFonts w:ascii="Times New Roman" w:eastAsia="Calibri" w:hAnsi="Times New Roman" w:cs="Times New Roman"/>
          <w:sz w:val="24"/>
        </w:rPr>
        <w:t>COVID</w:t>
      </w:r>
      <w:r w:rsidRPr="007F5499">
        <w:rPr>
          <w:rFonts w:ascii="Times New Roman" w:hAnsi="Times New Roman" w:cs="Times New Roman"/>
          <w:sz w:val="24"/>
        </w:rPr>
        <w:t xml:space="preserve">-19-accelerated use of digitalized communication tools on the local administration’s effectiveness. Our data show that this is a result of both institutional measures, especially </w:t>
      </w:r>
      <w:r w:rsidRPr="007F5499">
        <w:rPr>
          <w:rFonts w:ascii="Times New Roman" w:eastAsia="Calibri" w:hAnsi="Times New Roman" w:cs="Times New Roman"/>
          <w:sz w:val="24"/>
        </w:rPr>
        <w:t>changes in</w:t>
      </w:r>
      <w:r w:rsidRPr="007F5499">
        <w:rPr>
          <w:rFonts w:ascii="Times New Roman" w:hAnsi="Times New Roman" w:cs="Times New Roman"/>
          <w:sz w:val="24"/>
        </w:rPr>
        <w:t xml:space="preserve"> law and organizational improvement (“responsiveness”) and public servants’ behaviour regarding efficiency.</w:t>
      </w:r>
    </w:p>
    <w:p w14:paraId="318C8A01" w14:textId="12BDE4C2" w:rsidR="00B55338" w:rsidRPr="007F5499" w:rsidRDefault="00066F6D" w:rsidP="00B341EF">
      <w:pPr>
        <w:spacing w:line="360" w:lineRule="auto"/>
        <w:jc w:val="both"/>
        <w:rPr>
          <w:rFonts w:ascii="Times New Roman" w:hAnsi="Times New Roman" w:cs="Times New Roman"/>
          <w:sz w:val="24"/>
        </w:rPr>
      </w:pPr>
      <w:r w:rsidRPr="007F5499">
        <w:rPr>
          <w:rFonts w:ascii="Times New Roman" w:hAnsi="Times New Roman" w:cs="Times New Roman"/>
          <w:sz w:val="24"/>
        </w:rPr>
        <w:t xml:space="preserve">These findings indicate that none of the five countries participating in our survey study is governed by a single tradition or governance model, since individual models have shown various benefits but also weaknesses. Dysfunctions relate to politicization and an aggravated </w:t>
      </w:r>
      <w:r w:rsidRPr="007F5499">
        <w:rPr>
          <w:rFonts w:ascii="Times New Roman" w:eastAsia="Calibri" w:hAnsi="Times New Roman" w:cs="Times New Roman"/>
          <w:sz w:val="24"/>
        </w:rPr>
        <w:t>“ought”</w:t>
      </w:r>
      <w:r w:rsidRPr="007F5499">
        <w:rPr>
          <w:rFonts w:ascii="Times New Roman" w:hAnsi="Times New Roman" w:cs="Times New Roman"/>
          <w:sz w:val="24"/>
        </w:rPr>
        <w:t xml:space="preserve"> perspective, leading to bureaucracy and formalism </w:t>
      </w:r>
      <w:r w:rsidRPr="007F5499">
        <w:rPr>
          <w:rFonts w:ascii="Times New Roman" w:hAnsi="Times New Roman" w:cs="Times New Roman"/>
          <w:i/>
          <w:sz w:val="24"/>
        </w:rPr>
        <w:t>per se</w:t>
      </w:r>
      <w:r w:rsidR="00BA5529" w:rsidRPr="007F5499">
        <w:rPr>
          <w:rFonts w:ascii="Times New Roman" w:hAnsi="Times New Roman" w:cs="Times New Roman"/>
          <w:sz w:val="24"/>
        </w:rPr>
        <w:t xml:space="preserve"> within Weberian concepts; a lack of constitutional state and erosion of democracy accompany NPM; and </w:t>
      </w:r>
      <w:r w:rsidRPr="007F5499">
        <w:rPr>
          <w:rFonts w:ascii="Times New Roman" w:eastAsia="Calibri" w:hAnsi="Times New Roman" w:cs="Times New Roman"/>
          <w:sz w:val="24"/>
        </w:rPr>
        <w:t>good</w:t>
      </w:r>
      <w:r w:rsidRPr="007F5499">
        <w:rPr>
          <w:rFonts w:ascii="Times New Roman" w:hAnsi="Times New Roman" w:cs="Times New Roman"/>
          <w:sz w:val="24"/>
        </w:rPr>
        <w:t xml:space="preserve"> governance enables relevant stakeholders to achieve collaborative governance only in a limited way and faces an outflow of democratic accountability due to </w:t>
      </w:r>
      <w:r w:rsidRPr="007F5499">
        <w:rPr>
          <w:rFonts w:ascii="Times New Roman" w:eastAsia="Calibri" w:hAnsi="Times New Roman" w:cs="Times New Roman"/>
          <w:sz w:val="24"/>
        </w:rPr>
        <w:t xml:space="preserve">the </w:t>
      </w:r>
      <w:r w:rsidRPr="007F5499">
        <w:rPr>
          <w:rFonts w:ascii="Times New Roman" w:hAnsi="Times New Roman" w:cs="Times New Roman"/>
          <w:sz w:val="24"/>
        </w:rPr>
        <w:t xml:space="preserve">networking (Mathis 2014) governance </w:t>
      </w:r>
      <w:r w:rsidRPr="007F5499">
        <w:rPr>
          <w:rFonts w:ascii="Times New Roman" w:hAnsi="Times New Roman" w:cs="Times New Roman"/>
          <w:sz w:val="24"/>
        </w:rPr>
        <w:lastRenderedPageBreak/>
        <w:t>model. These developments, along with top-down Europeanization (Hammerschmid et al. 2016; Kovač and Bileišis 2017) and crisis management, contribute to the convergence in public administration regardless of individual national traditions.</w:t>
      </w:r>
    </w:p>
    <w:p w14:paraId="77972652" w14:textId="7CB86239" w:rsidR="00B03B3D" w:rsidRPr="007F5499" w:rsidRDefault="00B33C83" w:rsidP="00B341EF">
      <w:pPr>
        <w:spacing w:line="360" w:lineRule="auto"/>
        <w:jc w:val="both"/>
        <w:rPr>
          <w:rFonts w:ascii="Times New Roman" w:hAnsi="Times New Roman" w:cs="Times New Roman"/>
          <w:i/>
          <w:sz w:val="24"/>
          <w:szCs w:val="24"/>
        </w:rPr>
      </w:pPr>
      <w:r w:rsidRPr="007F5499">
        <w:rPr>
          <w:rFonts w:ascii="Times New Roman" w:hAnsi="Times New Roman" w:cs="Times New Roman"/>
          <w:sz w:val="24"/>
        </w:rPr>
        <w:t xml:space="preserve">The procedures by which administrators issue general and individual legal acts are closely related </w:t>
      </w:r>
      <w:r w:rsidR="00066F6D" w:rsidRPr="007F5499">
        <w:rPr>
          <w:rFonts w:ascii="Times New Roman" w:eastAsia="Calibri" w:hAnsi="Times New Roman" w:cs="Times New Roman"/>
          <w:sz w:val="24"/>
        </w:rPr>
        <w:t>to</w:t>
      </w:r>
      <w:r w:rsidR="00066F6D" w:rsidRPr="007F5499">
        <w:rPr>
          <w:rFonts w:ascii="Times New Roman" w:hAnsi="Times New Roman" w:cs="Times New Roman"/>
          <w:sz w:val="24"/>
        </w:rPr>
        <w:t xml:space="preserve"> administration competences, especially in more Weberian and </w:t>
      </w:r>
      <w:r w:rsidR="00066F6D" w:rsidRPr="007F5499">
        <w:rPr>
          <w:rFonts w:ascii="Times New Roman" w:hAnsi="Times New Roman" w:cs="Times New Roman"/>
          <w:i/>
          <w:sz w:val="24"/>
        </w:rPr>
        <w:t xml:space="preserve">Rechtsstaat </w:t>
      </w:r>
      <w:r w:rsidR="003F5590" w:rsidRPr="007F5499">
        <w:rPr>
          <w:rFonts w:ascii="Times New Roman" w:hAnsi="Times New Roman" w:cs="Times New Roman"/>
          <w:sz w:val="24"/>
          <w:szCs w:val="24"/>
        </w:rPr>
        <w:t xml:space="preserve">countries. Our data confirm H2a that the modified degree of new laws and regulations for local administrative authorities mediates the impact of the </w:t>
      </w:r>
      <w:r w:rsidR="00066F6D" w:rsidRPr="007F5499">
        <w:rPr>
          <w:rFonts w:ascii="Times New Roman" w:eastAsia="Calibri" w:hAnsi="Times New Roman" w:cs="Times New Roman"/>
          <w:sz w:val="24"/>
          <w:szCs w:val="24"/>
        </w:rPr>
        <w:t>COVID</w:t>
      </w:r>
      <w:r w:rsidR="003F5590" w:rsidRPr="007F5499">
        <w:rPr>
          <w:rFonts w:ascii="Times New Roman" w:hAnsi="Times New Roman" w:cs="Times New Roman"/>
          <w:sz w:val="24"/>
          <w:szCs w:val="24"/>
        </w:rPr>
        <w:t xml:space="preserve">-19-accelerated use of digitalized communication tools on the </w:t>
      </w:r>
      <w:r w:rsidR="00005F1F">
        <w:rPr>
          <w:rFonts w:ascii="Times New Roman" w:eastAsia="Calibri" w:hAnsi="Times New Roman" w:cs="Times New Roman"/>
          <w:sz w:val="24"/>
          <w:szCs w:val="24"/>
        </w:rPr>
        <w:t>effectiveness of local administrative authorities</w:t>
      </w:r>
      <w:r w:rsidR="003F5590" w:rsidRPr="007F5499">
        <w:rPr>
          <w:rFonts w:ascii="Times New Roman" w:hAnsi="Times New Roman" w:cs="Times New Roman"/>
          <w:sz w:val="24"/>
          <w:szCs w:val="24"/>
        </w:rPr>
        <w:t xml:space="preserve">. Naturally, during </w:t>
      </w:r>
      <w:r w:rsidR="00066F6D" w:rsidRPr="007F5499">
        <w:rPr>
          <w:rFonts w:ascii="Times New Roman" w:eastAsia="Calibri" w:hAnsi="Times New Roman" w:cs="Times New Roman"/>
          <w:sz w:val="24"/>
          <w:szCs w:val="24"/>
        </w:rPr>
        <w:t>COVID</w:t>
      </w:r>
      <w:r w:rsidR="003F5590" w:rsidRPr="007F5499">
        <w:rPr>
          <w:rFonts w:ascii="Times New Roman" w:hAnsi="Times New Roman" w:cs="Times New Roman"/>
          <w:sz w:val="24"/>
          <w:szCs w:val="24"/>
        </w:rPr>
        <w:t xml:space="preserve">-19, rule-making was fast-tracked and delegated from parliaments to the executive for timely action. We assumed that such rules might be inconsistent since there is </w:t>
      </w:r>
      <w:r w:rsidR="00066F6D" w:rsidRPr="007F5499">
        <w:rPr>
          <w:rFonts w:ascii="Times New Roman" w:eastAsia="Calibri" w:hAnsi="Times New Roman" w:cs="Times New Roman"/>
          <w:sz w:val="24"/>
          <w:szCs w:val="24"/>
        </w:rPr>
        <w:t xml:space="preserve">usually </w:t>
      </w:r>
      <w:r w:rsidR="00005F1F">
        <w:rPr>
          <w:rFonts w:ascii="Times New Roman" w:hAnsi="Times New Roman" w:cs="Times New Roman"/>
          <w:sz w:val="24"/>
          <w:szCs w:val="24"/>
        </w:rPr>
        <w:t xml:space="preserve">not sufficient time to coordinate and contemplate legislation, which further hinders local administrative authorities </w:t>
      </w:r>
      <w:r w:rsidR="00066F6D" w:rsidRPr="007F5499">
        <w:rPr>
          <w:rFonts w:ascii="Times New Roman" w:eastAsia="Calibri" w:hAnsi="Times New Roman" w:cs="Times New Roman"/>
          <w:sz w:val="24"/>
          <w:szCs w:val="24"/>
        </w:rPr>
        <w:t>from acting</w:t>
      </w:r>
      <w:r w:rsidR="003F5590" w:rsidRPr="007F5499">
        <w:rPr>
          <w:rFonts w:ascii="Times New Roman" w:hAnsi="Times New Roman" w:cs="Times New Roman"/>
          <w:bCs/>
          <w:sz w:val="24"/>
          <w:szCs w:val="24"/>
        </w:rPr>
        <w:t xml:space="preserve"> effectively. Nevertheless, our data show that the faster adaption of new laws, guidelines and instructions and the higher volume of new laws and guidelines passed due </w:t>
      </w:r>
      <w:r w:rsidR="00066F6D" w:rsidRPr="007F5499">
        <w:rPr>
          <w:rFonts w:ascii="Times New Roman" w:eastAsia="Calibri" w:hAnsi="Times New Roman" w:cs="Times New Roman"/>
          <w:bCs/>
          <w:sz w:val="24"/>
          <w:szCs w:val="24"/>
        </w:rPr>
        <w:t xml:space="preserve">to </w:t>
      </w:r>
      <w:r w:rsidR="00DE79E1" w:rsidRPr="007F5499">
        <w:rPr>
          <w:rFonts w:ascii="Times New Roman" w:hAnsi="Times New Roman" w:cs="Times New Roman"/>
          <w:sz w:val="24"/>
          <w:szCs w:val="24"/>
        </w:rPr>
        <w:t>the COVID-19 pandemic positively mediated the impact of the use of digitali</w:t>
      </w:r>
      <w:r w:rsidR="00886A19">
        <w:rPr>
          <w:rFonts w:ascii="Times New Roman" w:hAnsi="Times New Roman" w:cs="Times New Roman"/>
          <w:sz w:val="24"/>
          <w:szCs w:val="24"/>
        </w:rPr>
        <w:t>z</w:t>
      </w:r>
      <w:r w:rsidR="00DE79E1" w:rsidRPr="007F5499">
        <w:rPr>
          <w:rFonts w:ascii="Times New Roman" w:hAnsi="Times New Roman" w:cs="Times New Roman"/>
          <w:sz w:val="24"/>
          <w:szCs w:val="24"/>
        </w:rPr>
        <w:t xml:space="preserve">ed communication tools on the </w:t>
      </w:r>
      <w:r w:rsidR="00005F1F">
        <w:rPr>
          <w:rFonts w:ascii="Times New Roman" w:eastAsia="Calibri" w:hAnsi="Times New Roman" w:cs="Times New Roman"/>
          <w:sz w:val="24"/>
          <w:szCs w:val="24"/>
        </w:rPr>
        <w:t>effectiveness of the local administrative authority</w:t>
      </w:r>
      <w:r w:rsidR="00DE79E1" w:rsidRPr="007F5499">
        <w:rPr>
          <w:rFonts w:ascii="Times New Roman" w:hAnsi="Times New Roman" w:cs="Times New Roman"/>
          <w:sz w:val="24"/>
          <w:szCs w:val="24"/>
        </w:rPr>
        <w:t xml:space="preserve">. In contrast, the item measuring “whether new regulations and guidelines were inconsistent” </w:t>
      </w:r>
      <w:r w:rsidR="00066F6D" w:rsidRPr="007F5499">
        <w:rPr>
          <w:rFonts w:ascii="Times New Roman" w:eastAsia="Calibri" w:hAnsi="Times New Roman" w:cs="Times New Roman"/>
          <w:sz w:val="24"/>
          <w:szCs w:val="24"/>
        </w:rPr>
        <w:t>was</w:t>
      </w:r>
      <w:r w:rsidR="00DE79E1" w:rsidRPr="007F5499">
        <w:rPr>
          <w:rFonts w:ascii="Times New Roman" w:hAnsi="Times New Roman" w:cs="Times New Roman"/>
          <w:sz w:val="24"/>
          <w:szCs w:val="24"/>
        </w:rPr>
        <w:t xml:space="preserve"> not significant.</w:t>
      </w:r>
      <w:r w:rsidR="00DE79E1" w:rsidRPr="007F5499">
        <w:rPr>
          <w:rFonts w:ascii="Times New Roman" w:hAnsi="Times New Roman" w:cs="Times New Roman"/>
          <w:i/>
          <w:sz w:val="24"/>
          <w:szCs w:val="24"/>
        </w:rPr>
        <w:t xml:space="preserve"> </w:t>
      </w:r>
      <w:r w:rsidR="004C0831" w:rsidRPr="007F5499">
        <w:rPr>
          <w:rFonts w:ascii="Times New Roman" w:hAnsi="Times New Roman" w:cs="Times New Roman"/>
          <w:sz w:val="24"/>
          <w:szCs w:val="24"/>
        </w:rPr>
        <w:t>This means that the numerous new rules from higher authorities promoted the positive impact of using digital communication tools on the effectiveness of local administrative authorities. These rules were intended to enable local administrative authorities to act efficiently yet legally. In other words</w:t>
      </w:r>
      <w:r w:rsidR="008D3282" w:rsidRPr="007F5499">
        <w:rPr>
          <w:rFonts w:ascii="Times New Roman" w:eastAsia="Calibri" w:hAnsi="Times New Roman" w:cs="Times New Roman"/>
          <w:sz w:val="24"/>
          <w:szCs w:val="24"/>
        </w:rPr>
        <w:t>, the</w:t>
      </w:r>
      <w:r w:rsidR="004C0831" w:rsidRPr="007F5499">
        <w:rPr>
          <w:rFonts w:ascii="Times New Roman" w:hAnsi="Times New Roman" w:cs="Times New Roman"/>
          <w:sz w:val="24"/>
          <w:szCs w:val="24"/>
        </w:rPr>
        <w:t xml:space="preserve"> legislation issued by higher-level state institutions (e.g.</w:t>
      </w:r>
      <w:r w:rsidR="00066F6D" w:rsidRPr="007F5499">
        <w:rPr>
          <w:rFonts w:ascii="Times New Roman" w:eastAsia="Calibri" w:hAnsi="Times New Roman" w:cs="Times New Roman"/>
          <w:sz w:val="24"/>
          <w:szCs w:val="24"/>
        </w:rPr>
        <w:t>,</w:t>
      </w:r>
      <w:r w:rsidR="004C0831" w:rsidRPr="007F5499">
        <w:rPr>
          <w:rFonts w:ascii="Times New Roman" w:hAnsi="Times New Roman" w:cs="Times New Roman"/>
          <w:sz w:val="24"/>
          <w:szCs w:val="24"/>
        </w:rPr>
        <w:t xml:space="preserve"> sectoral ministries) was, despite the pressure to react quickly to the unforeseen pandemic, quite consistent and not ambiguous. As a consequence, it seems that governments</w:t>
      </w:r>
      <w:r w:rsidR="00066F6D" w:rsidRPr="007F5499">
        <w:rPr>
          <w:rFonts w:ascii="Times New Roman" w:eastAsia="Calibri" w:hAnsi="Times New Roman" w:cs="Times New Roman"/>
          <w:sz w:val="24"/>
          <w:szCs w:val="24"/>
        </w:rPr>
        <w:t>, especially</w:t>
      </w:r>
      <w:r w:rsidR="004C0831" w:rsidRPr="007F5499">
        <w:rPr>
          <w:rFonts w:ascii="Times New Roman" w:hAnsi="Times New Roman" w:cs="Times New Roman"/>
          <w:sz w:val="24"/>
          <w:szCs w:val="24"/>
        </w:rPr>
        <w:t xml:space="preserve"> rule-making institutions</w:t>
      </w:r>
      <w:r w:rsidR="00066F6D" w:rsidRPr="007F5499">
        <w:rPr>
          <w:rFonts w:ascii="Times New Roman" w:eastAsia="Calibri" w:hAnsi="Times New Roman" w:cs="Times New Roman"/>
          <w:sz w:val="24"/>
          <w:szCs w:val="24"/>
        </w:rPr>
        <w:t>,</w:t>
      </w:r>
      <w:r w:rsidR="004C0831" w:rsidRPr="007F5499">
        <w:rPr>
          <w:rFonts w:ascii="Times New Roman" w:hAnsi="Times New Roman" w:cs="Times New Roman"/>
          <w:sz w:val="24"/>
          <w:szCs w:val="24"/>
        </w:rPr>
        <w:t xml:space="preserve"> positively influenced the ability of local administrative authorities to work effectively during the pandemic. Moreover, it was shown that for any reform in public administration to be effective, it must</w:t>
      </w:r>
      <w:r w:rsidR="00066F6D" w:rsidRPr="007F5499">
        <w:rPr>
          <w:rFonts w:ascii="Times New Roman" w:eastAsia="Calibri" w:hAnsi="Times New Roman" w:cs="Times New Roman"/>
          <w:sz w:val="24"/>
          <w:szCs w:val="24"/>
        </w:rPr>
        <w:t xml:space="preserve"> also</w:t>
      </w:r>
      <w:r w:rsidR="004C0831" w:rsidRPr="007F5499">
        <w:rPr>
          <w:rFonts w:ascii="Times New Roman" w:hAnsi="Times New Roman" w:cs="Times New Roman"/>
          <w:sz w:val="24"/>
          <w:szCs w:val="24"/>
        </w:rPr>
        <w:t xml:space="preserve"> be legally grounded. In this sense, the law is not an obstacle to otherwise managerially led changes but a necessary guarantee to operationalize good governance, both regionally in central Europe and locally at the level of individual (types of) public administration.</w:t>
      </w:r>
    </w:p>
    <w:p w14:paraId="7CA60F72" w14:textId="575E5C2D" w:rsidR="003D4E57" w:rsidRPr="007F5499" w:rsidRDefault="00066F6D" w:rsidP="00B341EF">
      <w:pPr>
        <w:spacing w:line="360" w:lineRule="auto"/>
        <w:jc w:val="both"/>
        <w:rPr>
          <w:rFonts w:ascii="Times New Roman" w:hAnsi="Times New Roman" w:cs="Times New Roman"/>
          <w:sz w:val="24"/>
        </w:rPr>
      </w:pPr>
      <w:r w:rsidRPr="007F5499">
        <w:rPr>
          <w:rStyle w:val="markedcontent"/>
          <w:rFonts w:ascii="Times New Roman" w:hAnsi="Times New Roman" w:cs="Times New Roman"/>
          <w:sz w:val="24"/>
          <w:szCs w:val="24"/>
        </w:rPr>
        <w:t xml:space="preserve">The </w:t>
      </w:r>
      <w:r w:rsidR="00B8584D" w:rsidRPr="007F5499">
        <w:rPr>
          <w:rStyle w:val="markedcontent"/>
          <w:rFonts w:ascii="Times New Roman" w:eastAsia="Calibri" w:hAnsi="Times New Roman" w:cs="Times New Roman"/>
          <w:sz w:val="24"/>
          <w:szCs w:val="24"/>
        </w:rPr>
        <w:t>COVID</w:t>
      </w:r>
      <w:r w:rsidR="00DD6501" w:rsidRPr="007F5499">
        <w:rPr>
          <w:rStyle w:val="markedcontent"/>
          <w:rFonts w:ascii="Times New Roman" w:hAnsi="Times New Roman" w:cs="Times New Roman"/>
          <w:sz w:val="24"/>
          <w:szCs w:val="24"/>
        </w:rPr>
        <w:t xml:space="preserve">-19 pandemic has revealed not only weaknesses and limitations of public administration but also hidden reform opportunities. The pandemic has created strong momentum for the digital transformation and reform of all aspects of public administration. </w:t>
      </w:r>
      <w:r w:rsidRPr="007F5499">
        <w:rPr>
          <w:rFonts w:ascii="Times New Roman" w:hAnsi="Times New Roman" w:cs="Times New Roman"/>
          <w:sz w:val="24"/>
          <w:szCs w:val="24"/>
        </w:rPr>
        <w:t xml:space="preserve">Administrative procedures in particular, which are – due to the protection of public interest in administrative relations – conducted based on the rule of law and act as </w:t>
      </w:r>
      <w:r w:rsidR="00B8584D" w:rsidRPr="007F5499">
        <w:rPr>
          <w:rFonts w:ascii="Times New Roman" w:eastAsia="Calibri" w:hAnsi="Times New Roman" w:cs="Times New Roman"/>
          <w:sz w:val="24"/>
          <w:szCs w:val="24"/>
        </w:rPr>
        <w:t>subsidiaries</w:t>
      </w:r>
      <w:r w:rsidR="00531FA5" w:rsidRPr="007F5499">
        <w:rPr>
          <w:rFonts w:ascii="Times New Roman" w:hAnsi="Times New Roman" w:cs="Times New Roman"/>
          <w:sz w:val="24"/>
          <w:szCs w:val="24"/>
        </w:rPr>
        <w:t xml:space="preserve"> subjected </w:t>
      </w:r>
      <w:r w:rsidR="00531FA5" w:rsidRPr="007F5499">
        <w:rPr>
          <w:rFonts w:ascii="Times New Roman" w:hAnsi="Times New Roman" w:cs="Times New Roman"/>
          <w:sz w:val="24"/>
          <w:szCs w:val="24"/>
        </w:rPr>
        <w:lastRenderedPageBreak/>
        <w:t xml:space="preserve">to efficiency, can be further adjusted and developed. Namely, it seems that </w:t>
      </w:r>
      <w:r w:rsidR="00B8584D" w:rsidRPr="007F5499">
        <w:rPr>
          <w:rFonts w:ascii="Times New Roman" w:eastAsia="Calibri" w:hAnsi="Times New Roman" w:cs="Times New Roman"/>
          <w:sz w:val="24"/>
          <w:szCs w:val="24"/>
        </w:rPr>
        <w:t>COVID</w:t>
      </w:r>
      <w:r w:rsidR="00531FA5" w:rsidRPr="007F5499">
        <w:rPr>
          <w:rFonts w:ascii="Times New Roman" w:hAnsi="Times New Roman" w:cs="Times New Roman"/>
          <w:sz w:val="24"/>
          <w:szCs w:val="24"/>
        </w:rPr>
        <w:t>-19</w:t>
      </w:r>
      <w:r w:rsidR="00B8584D" w:rsidRPr="007F5499">
        <w:rPr>
          <w:rFonts w:ascii="Times New Roman" w:eastAsia="Calibri" w:hAnsi="Times New Roman" w:cs="Times New Roman"/>
          <w:sz w:val="24"/>
          <w:szCs w:val="24"/>
        </w:rPr>
        <w:t>-</w:t>
      </w:r>
      <w:r w:rsidR="00531FA5" w:rsidRPr="007F5499">
        <w:rPr>
          <w:rFonts w:ascii="Times New Roman" w:hAnsi="Times New Roman" w:cs="Times New Roman"/>
          <w:sz w:val="24"/>
          <w:szCs w:val="24"/>
        </w:rPr>
        <w:t xml:space="preserve">related digitalization showed how to bridge a collision between legality and responsiveness through an appropriate mix of formalism and flexibility. However, future studies need to establish how such a balance can </w:t>
      </w:r>
      <w:r w:rsidR="00B8584D" w:rsidRPr="007F5499">
        <w:rPr>
          <w:rFonts w:ascii="Times New Roman" w:eastAsia="Calibri" w:hAnsi="Times New Roman" w:cs="Times New Roman"/>
          <w:sz w:val="24"/>
          <w:szCs w:val="24"/>
        </w:rPr>
        <w:t xml:space="preserve">also </w:t>
      </w:r>
      <w:r w:rsidR="00531FA5" w:rsidRPr="007F5499">
        <w:rPr>
          <w:rFonts w:ascii="Times New Roman" w:hAnsi="Times New Roman" w:cs="Times New Roman"/>
          <w:sz w:val="24"/>
          <w:szCs w:val="24"/>
        </w:rPr>
        <w:t xml:space="preserve">be reached in regular (non-pandemic) times so that individual parties to the procedure do not significantly misuse their entitlements. As the pandemic also raised questions related to </w:t>
      </w:r>
      <w:r w:rsidR="00B8584D" w:rsidRPr="007F5499">
        <w:rPr>
          <w:rFonts w:ascii="Times New Roman" w:eastAsia="Calibri" w:hAnsi="Times New Roman" w:cs="Times New Roman"/>
          <w:sz w:val="24"/>
          <w:szCs w:val="24"/>
        </w:rPr>
        <w:t xml:space="preserve">the </w:t>
      </w:r>
      <w:r w:rsidR="00531FA5" w:rsidRPr="007F5499">
        <w:rPr>
          <w:rFonts w:ascii="Times New Roman" w:hAnsi="Times New Roman" w:cs="Times New Roman"/>
          <w:sz w:val="24"/>
          <w:szCs w:val="24"/>
        </w:rPr>
        <w:t>protection of citizens’ rights, privacy and personal data protection, further research could also consider these aspects.</w:t>
      </w:r>
    </w:p>
    <w:p w14:paraId="09AB8BC4" w14:textId="77777777" w:rsidR="007B7BA7" w:rsidRPr="007F5499" w:rsidRDefault="007B7BA7" w:rsidP="00B341EF">
      <w:pPr>
        <w:spacing w:line="360" w:lineRule="auto"/>
        <w:jc w:val="both"/>
        <w:rPr>
          <w:rFonts w:ascii="Times New Roman" w:hAnsi="Times New Roman" w:cs="Times New Roman"/>
          <w:sz w:val="24"/>
        </w:rPr>
      </w:pPr>
    </w:p>
    <w:p w14:paraId="151DA1B7" w14:textId="77777777" w:rsidR="002B3512" w:rsidRPr="007F5499" w:rsidRDefault="00066F6D" w:rsidP="00DE62D0">
      <w:pPr>
        <w:spacing w:line="240" w:lineRule="auto"/>
        <w:jc w:val="both"/>
        <w:rPr>
          <w:rFonts w:ascii="Times New Roman" w:hAnsi="Times New Roman" w:cs="Times New Roman"/>
          <w:b/>
          <w:sz w:val="24"/>
        </w:rPr>
      </w:pPr>
      <w:r w:rsidRPr="007F5499">
        <w:rPr>
          <w:rFonts w:ascii="Times New Roman" w:hAnsi="Times New Roman" w:cs="Times New Roman"/>
          <w:b/>
          <w:sz w:val="24"/>
        </w:rPr>
        <w:t>6 Conclusion</w:t>
      </w:r>
    </w:p>
    <w:p w14:paraId="2CD1B635" w14:textId="5A031B30" w:rsidR="00D9159F" w:rsidRPr="007F5499" w:rsidRDefault="00066F6D" w:rsidP="00B341EF">
      <w:pPr>
        <w:spacing w:line="360" w:lineRule="auto"/>
        <w:jc w:val="both"/>
        <w:rPr>
          <w:rFonts w:ascii="Times New Roman" w:hAnsi="Times New Roman" w:cs="Times New Roman"/>
          <w:sz w:val="24"/>
          <w:szCs w:val="24"/>
        </w:rPr>
      </w:pPr>
      <w:r w:rsidRPr="007F5499">
        <w:rPr>
          <w:rFonts w:ascii="Times New Roman" w:hAnsi="Times New Roman" w:cs="Times New Roman"/>
          <w:sz w:val="24"/>
          <w:szCs w:val="24"/>
        </w:rPr>
        <w:t>In this study</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we showed that a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accelerated</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more intensive use of digitalized communication tools </w:t>
      </w:r>
      <w:r w:rsidR="00B8584D" w:rsidRPr="007F5499">
        <w:rPr>
          <w:rFonts w:ascii="Times New Roman" w:eastAsia="Calibri" w:hAnsi="Times New Roman" w:cs="Times New Roman"/>
          <w:sz w:val="24"/>
          <w:szCs w:val="24"/>
        </w:rPr>
        <w:t>has</w:t>
      </w:r>
      <w:r w:rsidRPr="007F5499">
        <w:rPr>
          <w:rFonts w:ascii="Times New Roman" w:hAnsi="Times New Roman" w:cs="Times New Roman"/>
          <w:sz w:val="24"/>
          <w:szCs w:val="24"/>
        </w:rPr>
        <w:t xml:space="preserve"> a positive effect on the effectiveness of local administrations. Our data thereby indicate that public institutions are able to adapt administrative structures to quickly evolving challenges during a crisis situation (as proposed by Kuhlmann and Heuberger 2021). Second, our data indicate that fast-changing environmental factors, </w:t>
      </w:r>
      <w:r w:rsidR="00B8584D" w:rsidRPr="007F5499">
        <w:rPr>
          <w:rFonts w:ascii="Times New Roman" w:eastAsia="Calibri" w:hAnsi="Times New Roman" w:cs="Times New Roman"/>
          <w:sz w:val="24"/>
          <w:szCs w:val="24"/>
        </w:rPr>
        <w:t xml:space="preserve">such as </w:t>
      </w:r>
      <w:r w:rsidR="00177C37" w:rsidRPr="007F5499">
        <w:rPr>
          <w:rFonts w:ascii="Times New Roman" w:hAnsi="Times New Roman" w:cs="Times New Roman"/>
          <w:sz w:val="24"/>
          <w:szCs w:val="24"/>
        </w:rPr>
        <w:t>legislation</w:t>
      </w:r>
      <w:r w:rsidR="00B8584D" w:rsidRPr="007F5499">
        <w:rPr>
          <w:rFonts w:ascii="Times New Roman" w:eastAsia="Calibri" w:hAnsi="Times New Roman" w:cs="Times New Roman"/>
          <w:sz w:val="24"/>
          <w:szCs w:val="24"/>
        </w:rPr>
        <w:t xml:space="preserve"> adjusted due to COVID-19</w:t>
      </w:r>
      <w:r w:rsidRPr="007F5499">
        <w:rPr>
          <w:rFonts w:ascii="Times New Roman" w:hAnsi="Times New Roman" w:cs="Times New Roman"/>
          <w:sz w:val="24"/>
          <w:szCs w:val="24"/>
        </w:rPr>
        <w:t>, have a positive impact on the relationship between the use of digitalized communication tools and the administration’s effectiveness. Law-makers seem to be able to set the “right” rules to enable local administrations to offer services in a crisis</w:t>
      </w:r>
      <w:r w:rsidR="00B8584D" w:rsidRPr="007F5499">
        <w:rPr>
          <w:rFonts w:ascii="Times New Roman" w:eastAsia="Calibri" w:hAnsi="Times New Roman" w:cs="Times New Roman"/>
          <w:sz w:val="24"/>
          <w:szCs w:val="24"/>
        </w:rPr>
        <w:t xml:space="preserve"> </w:t>
      </w:r>
      <w:r w:rsidRPr="007F5499">
        <w:rPr>
          <w:rFonts w:ascii="Times New Roman" w:hAnsi="Times New Roman" w:cs="Times New Roman"/>
          <w:sz w:val="24"/>
          <w:szCs w:val="24"/>
        </w:rPr>
        <w:t>situation.</w:t>
      </w:r>
    </w:p>
    <w:p w14:paraId="28C07371" w14:textId="7C2E14BD" w:rsidR="008F2705" w:rsidRPr="008F2705" w:rsidRDefault="00537B52" w:rsidP="008F2705">
      <w:pPr>
        <w:spacing w:line="360" w:lineRule="auto"/>
        <w:jc w:val="both"/>
        <w:rPr>
          <w:rFonts w:ascii="Times New Roman" w:eastAsia="Times New Roman" w:hAnsi="Times New Roman" w:cs="Times New Roman"/>
          <w:sz w:val="24"/>
        </w:rPr>
      </w:pPr>
      <w:r>
        <w:rPr>
          <w:rFonts w:ascii="Times New Roman" w:hAnsi="Times New Roman" w:cs="Times New Roman"/>
          <w:sz w:val="24"/>
        </w:rPr>
        <w:t xml:space="preserve">Our results suffer from the classic limitations of survey-based studies (Nitzl et al. 2020). The conclusions are necessarily based on average evaluations. Hence, we provide an overview of the systematic trends, not idiosyncratic organizational factors. Our analyses are also based on the subjective evaluations of the respondents. This approach may lead to the misrepresentation of some key constructs in our survey. Our study is also focused on a specific point </w:t>
      </w:r>
      <w:r w:rsidR="00F21151">
        <w:rPr>
          <w:rFonts w:ascii="Times New Roman" w:hAnsi="Times New Roman" w:cs="Times New Roman"/>
          <w:sz w:val="24"/>
        </w:rPr>
        <w:t>in</w:t>
      </w:r>
      <w:r>
        <w:rPr>
          <w:rFonts w:ascii="Times New Roman" w:hAnsi="Times New Roman" w:cs="Times New Roman"/>
          <w:sz w:val="24"/>
        </w:rPr>
        <w:t xml:space="preserve"> time. A longitudinal study could analyse long-term changes in public service provision </w:t>
      </w:r>
      <w:r w:rsidR="00F21151">
        <w:rPr>
          <w:rFonts w:ascii="Times New Roman" w:hAnsi="Times New Roman" w:cs="Times New Roman"/>
          <w:sz w:val="24"/>
        </w:rPr>
        <w:t>that</w:t>
      </w:r>
      <w:r>
        <w:rPr>
          <w:rFonts w:ascii="Times New Roman" w:hAnsi="Times New Roman" w:cs="Times New Roman"/>
          <w:sz w:val="24"/>
        </w:rPr>
        <w:t xml:space="preserve"> are induced by the use of digitalized communication tools. </w:t>
      </w:r>
      <w:r w:rsidR="00066F6D" w:rsidRPr="008F2705">
        <w:rPr>
          <w:rFonts w:ascii="Times New Roman" w:eastAsia="Times New Roman" w:hAnsi="Times New Roman" w:cs="Times New Roman"/>
          <w:sz w:val="24"/>
        </w:rPr>
        <w:t xml:space="preserve">Accordingly, future research could consider additional aspects that are beyond digitalized communication across selected segments of public administration, including local self-government and state administration. This </w:t>
      </w:r>
      <w:bookmarkStart w:id="2" w:name="_GoBack"/>
      <w:r w:rsidR="00F21151">
        <w:rPr>
          <w:rFonts w:ascii="Times New Roman" w:eastAsia="Times New Roman" w:hAnsi="Times New Roman" w:cs="Times New Roman"/>
          <w:sz w:val="24"/>
        </w:rPr>
        <w:t>would</w:t>
      </w:r>
      <w:bookmarkEnd w:id="2"/>
      <w:r w:rsidR="00066F6D" w:rsidRPr="008F2705">
        <w:rPr>
          <w:rFonts w:ascii="Times New Roman" w:eastAsia="Times New Roman" w:hAnsi="Times New Roman" w:cs="Times New Roman"/>
          <w:sz w:val="24"/>
        </w:rPr>
        <w:t xml:space="preserve"> add a complement and comparative perspective to our study.</w:t>
      </w:r>
    </w:p>
    <w:p w14:paraId="55C60F64" w14:textId="6C09E321" w:rsidR="002B667C" w:rsidRPr="007F5499" w:rsidRDefault="00066F6D" w:rsidP="00B341EF">
      <w:pPr>
        <w:pStyle w:val="Listenabsatz"/>
        <w:spacing w:line="360" w:lineRule="auto"/>
        <w:ind w:left="0"/>
        <w:jc w:val="both"/>
        <w:rPr>
          <w:rFonts w:ascii="Times New Roman" w:hAnsi="Times New Roman" w:cs="Times New Roman"/>
          <w:sz w:val="24"/>
          <w:szCs w:val="24"/>
        </w:rPr>
      </w:pPr>
      <w:r w:rsidRPr="007F5499">
        <w:rPr>
          <w:rFonts w:ascii="Times New Roman" w:hAnsi="Times New Roman" w:cs="Times New Roman"/>
          <w:sz w:val="24"/>
          <w:szCs w:val="24"/>
        </w:rPr>
        <w:t xml:space="preserve">Nevertheless, according to our findings, we can sensitize politicians and public managers of local administrations </w:t>
      </w:r>
      <w:r w:rsidR="00B8584D" w:rsidRPr="007F5499">
        <w:rPr>
          <w:rFonts w:ascii="Times New Roman" w:eastAsia="Calibri" w:hAnsi="Times New Roman" w:cs="Times New Roman"/>
          <w:sz w:val="24"/>
          <w:szCs w:val="24"/>
        </w:rPr>
        <w:t>to</w:t>
      </w:r>
      <w:r w:rsidRPr="007F5499">
        <w:rPr>
          <w:rFonts w:ascii="Times New Roman" w:hAnsi="Times New Roman" w:cs="Times New Roman"/>
          <w:sz w:val="24"/>
          <w:szCs w:val="24"/>
        </w:rPr>
        <w:t xml:space="preserve"> opportunities </w:t>
      </w:r>
      <w:r w:rsidR="00B8584D" w:rsidRPr="007F5499">
        <w:rPr>
          <w:rFonts w:ascii="Times New Roman" w:eastAsia="Calibri" w:hAnsi="Times New Roman" w:cs="Times New Roman"/>
          <w:sz w:val="24"/>
          <w:szCs w:val="24"/>
        </w:rPr>
        <w:t>for</w:t>
      </w:r>
      <w:r w:rsidRPr="007F5499">
        <w:rPr>
          <w:rFonts w:ascii="Times New Roman" w:hAnsi="Times New Roman" w:cs="Times New Roman"/>
          <w:sz w:val="24"/>
          <w:szCs w:val="24"/>
        </w:rPr>
        <w:t xml:space="preserve"> digitalizing local administrations. In </w:t>
      </w:r>
      <w:r w:rsidR="00B8584D" w:rsidRPr="007F5499">
        <w:rPr>
          <w:rFonts w:ascii="Times New Roman" w:eastAsia="Calibri" w:hAnsi="Times New Roman" w:cs="Times New Roman"/>
          <w:sz w:val="24"/>
          <w:szCs w:val="24"/>
        </w:rPr>
        <w:t xml:space="preserve">the </w:t>
      </w:r>
      <w:r w:rsidRPr="007F5499">
        <w:rPr>
          <w:rFonts w:ascii="Times New Roman" w:hAnsi="Times New Roman" w:cs="Times New Roman"/>
          <w:sz w:val="24"/>
          <w:szCs w:val="24"/>
        </w:rPr>
        <w:t xml:space="preserve">future, when the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 xml:space="preserve">-19 pandemic has lost relevance, further steps of digitalizing public institutions should be implemented. This could include the adjustment of administrative processes and the </w:t>
      </w:r>
      <w:r w:rsidRPr="007F5499">
        <w:rPr>
          <w:rFonts w:ascii="Times New Roman" w:hAnsi="Times New Roman" w:cs="Times New Roman"/>
          <w:sz w:val="24"/>
          <w:szCs w:val="24"/>
        </w:rPr>
        <w:lastRenderedPageBreak/>
        <w:t>reorganization of organizational structures</w:t>
      </w:r>
      <w:r w:rsidR="00B8584D" w:rsidRPr="007F5499">
        <w:rPr>
          <w:rFonts w:ascii="Times New Roman" w:eastAsia="Calibri" w:hAnsi="Times New Roman" w:cs="Times New Roman"/>
          <w:sz w:val="24"/>
          <w:szCs w:val="24"/>
        </w:rPr>
        <w:t>,</w:t>
      </w:r>
      <w:r w:rsidRPr="007F5499">
        <w:rPr>
          <w:rFonts w:ascii="Times New Roman" w:hAnsi="Times New Roman" w:cs="Times New Roman"/>
          <w:sz w:val="24"/>
          <w:szCs w:val="24"/>
        </w:rPr>
        <w:t xml:space="preserve"> which both enable public administrations to use digitalized tools more intensively and effectively. Hence, the </w:t>
      </w:r>
      <w:r w:rsidR="00B8584D" w:rsidRPr="007F5499">
        <w:rPr>
          <w:rFonts w:ascii="Times New Roman" w:eastAsia="Calibri" w:hAnsi="Times New Roman" w:cs="Times New Roman"/>
          <w:sz w:val="24"/>
          <w:szCs w:val="24"/>
        </w:rPr>
        <w:t>COVID</w:t>
      </w:r>
      <w:r w:rsidRPr="007F5499">
        <w:rPr>
          <w:rFonts w:ascii="Times New Roman" w:hAnsi="Times New Roman" w:cs="Times New Roman"/>
          <w:sz w:val="24"/>
          <w:szCs w:val="24"/>
        </w:rPr>
        <w:t>-19 pandemic also brought a window of opportunity to accelerate necessary long-term public administration reforms.</w:t>
      </w:r>
    </w:p>
    <w:p w14:paraId="2A4948B8" w14:textId="77777777" w:rsidR="00463FED" w:rsidRPr="007F5499" w:rsidRDefault="00463FED">
      <w:pPr>
        <w:rPr>
          <w:rFonts w:ascii="Times New Roman" w:hAnsi="Times New Roman" w:cs="Times New Roman"/>
          <w:b/>
          <w:sz w:val="24"/>
          <w:szCs w:val="24"/>
        </w:rPr>
      </w:pPr>
    </w:p>
    <w:p w14:paraId="58778911" w14:textId="77777777" w:rsidR="00BA7B5D" w:rsidRPr="007F5499" w:rsidRDefault="00066F6D" w:rsidP="00463FED">
      <w:pPr>
        <w:spacing w:line="240" w:lineRule="auto"/>
        <w:rPr>
          <w:rFonts w:ascii="Times New Roman" w:hAnsi="Times New Roman" w:cs="Times New Roman"/>
          <w:b/>
          <w:sz w:val="24"/>
          <w:szCs w:val="24"/>
        </w:rPr>
      </w:pPr>
      <w:r w:rsidRPr="007F5499">
        <w:rPr>
          <w:rFonts w:ascii="Times New Roman" w:hAnsi="Times New Roman" w:cs="Times New Roman"/>
          <w:b/>
          <w:sz w:val="24"/>
          <w:szCs w:val="24"/>
        </w:rPr>
        <w:t>References</w:t>
      </w:r>
    </w:p>
    <w:p w14:paraId="7CD2434A" w14:textId="77777777" w:rsidR="000E4E19" w:rsidRPr="007F5499" w:rsidRDefault="00066F6D" w:rsidP="00DE62D0">
      <w:pPr>
        <w:spacing w:line="240" w:lineRule="auto"/>
        <w:jc w:val="both"/>
        <w:rPr>
          <w:rFonts w:ascii="Times New Roman" w:hAnsi="Times New Roman" w:cs="Times New Roman"/>
        </w:rPr>
      </w:pPr>
      <w:r w:rsidRPr="007F5499">
        <w:rPr>
          <w:rFonts w:ascii="Times New Roman" w:hAnsi="Times New Roman" w:cs="Times New Roman"/>
        </w:rPr>
        <w:t xml:space="preserve">Abernethy, M.A., </w:t>
      </w:r>
      <w:proofErr w:type="spellStart"/>
      <w:r w:rsidRPr="007F5499">
        <w:rPr>
          <w:rFonts w:ascii="Times New Roman" w:hAnsi="Times New Roman" w:cs="Times New Roman"/>
        </w:rPr>
        <w:t>Bouwens</w:t>
      </w:r>
      <w:proofErr w:type="spellEnd"/>
      <w:r w:rsidRPr="007F5499">
        <w:rPr>
          <w:rFonts w:ascii="Times New Roman" w:hAnsi="Times New Roman" w:cs="Times New Roman"/>
        </w:rPr>
        <w:t>, J. and van Lent, L. (2013): The Role of Performance Measures in the Intertemporal Decisions of Business Unit Managers. Contemporary Accounting Research 30, 925–961.</w:t>
      </w:r>
    </w:p>
    <w:p w14:paraId="296C603A" w14:textId="77777777" w:rsidR="003433B6"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Agostino, D., </w:t>
      </w:r>
      <w:proofErr w:type="spellStart"/>
      <w:r w:rsidRPr="007F5499">
        <w:rPr>
          <w:rFonts w:ascii="Times New Roman" w:hAnsi="Times New Roman" w:cs="Times New Roman"/>
          <w:szCs w:val="24"/>
        </w:rPr>
        <w:t>Arnaboldi</w:t>
      </w:r>
      <w:proofErr w:type="spellEnd"/>
      <w:r w:rsidRPr="007F5499">
        <w:rPr>
          <w:rFonts w:ascii="Times New Roman" w:hAnsi="Times New Roman" w:cs="Times New Roman"/>
          <w:szCs w:val="24"/>
        </w:rPr>
        <w:t xml:space="preserve">, M., and Diaz </w:t>
      </w:r>
      <w:proofErr w:type="spellStart"/>
      <w:r w:rsidRPr="007F5499">
        <w:rPr>
          <w:rFonts w:ascii="Times New Roman" w:hAnsi="Times New Roman" w:cs="Times New Roman"/>
          <w:szCs w:val="24"/>
        </w:rPr>
        <w:t>Lema</w:t>
      </w:r>
      <w:proofErr w:type="spellEnd"/>
      <w:r w:rsidRPr="007F5499">
        <w:rPr>
          <w:rFonts w:ascii="Times New Roman" w:hAnsi="Times New Roman" w:cs="Times New Roman"/>
          <w:szCs w:val="24"/>
        </w:rPr>
        <w:t>, M. (2021): New development: COVID-19 as an accelerator of digital transformation in public service delivery. Public Money &amp; Management 41, 69-72.</w:t>
      </w:r>
    </w:p>
    <w:p w14:paraId="3F2863F6" w14:textId="3BCE5EF6" w:rsidR="00036A21" w:rsidRPr="00036A21" w:rsidRDefault="00066F6D" w:rsidP="005E13E5">
      <w:pPr>
        <w:spacing w:line="240" w:lineRule="auto"/>
        <w:jc w:val="both"/>
        <w:rPr>
          <w:rFonts w:ascii="Times New Roman" w:hAnsi="Times New Roman" w:cs="Times New Roman"/>
          <w:szCs w:val="24"/>
        </w:rPr>
      </w:pPr>
      <w:r w:rsidRPr="005E13E5">
        <w:rPr>
          <w:rFonts w:ascii="Times New Roman" w:hAnsi="Times New Roman" w:cs="Times New Roman"/>
          <w:szCs w:val="24"/>
        </w:rPr>
        <w:t xml:space="preserve">Andersen, K.N., Medaglia, R., </w:t>
      </w:r>
      <w:proofErr w:type="spellStart"/>
      <w:r w:rsidRPr="005E13E5">
        <w:rPr>
          <w:rFonts w:ascii="Times New Roman" w:hAnsi="Times New Roman" w:cs="Times New Roman"/>
          <w:szCs w:val="24"/>
        </w:rPr>
        <w:t>Vatrpu</w:t>
      </w:r>
      <w:proofErr w:type="spellEnd"/>
      <w:r w:rsidRPr="005E13E5">
        <w:rPr>
          <w:rFonts w:ascii="Times New Roman" w:hAnsi="Times New Roman" w:cs="Times New Roman"/>
          <w:szCs w:val="24"/>
        </w:rPr>
        <w:t xml:space="preserve">, R., Henriksen, H.Z., </w:t>
      </w:r>
      <w:proofErr w:type="spellStart"/>
      <w:r w:rsidRPr="005E13E5">
        <w:rPr>
          <w:rFonts w:ascii="Times New Roman" w:hAnsi="Times New Roman" w:cs="Times New Roman"/>
          <w:szCs w:val="24"/>
        </w:rPr>
        <w:t>Gauld</w:t>
      </w:r>
      <w:proofErr w:type="spellEnd"/>
      <w:r w:rsidRPr="005E13E5">
        <w:rPr>
          <w:rFonts w:ascii="Times New Roman" w:hAnsi="Times New Roman" w:cs="Times New Roman"/>
          <w:szCs w:val="24"/>
        </w:rPr>
        <w:t>, R. (1991): The forgotten promise of e-government maturity: Assessing responsiveness in the digital public sector, Government Information Quarterly, Volume 28, Issue 4, October 2011, Pages 439-445</w:t>
      </w:r>
    </w:p>
    <w:p w14:paraId="3DB44BBD" w14:textId="0D047AD0" w:rsidR="00796747"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Anderson, S. W., Young, S. (1999): The Impact of Contextual and Process Factors on the Evaluation of Activity-Based Costing Systems. Accounting, Organizations and Society 24, 525–559.</w:t>
      </w:r>
    </w:p>
    <w:p w14:paraId="2839532D" w14:textId="144E0C2D" w:rsidR="00B0086A" w:rsidRPr="00B0086A" w:rsidRDefault="00441310" w:rsidP="00B0086A">
      <w:pPr>
        <w:spacing w:line="240" w:lineRule="auto"/>
        <w:jc w:val="both"/>
        <w:rPr>
          <w:rFonts w:ascii="Times New Roman" w:hAnsi="Times New Roman" w:cs="Times New Roman"/>
          <w:szCs w:val="24"/>
        </w:rPr>
      </w:pPr>
      <w:r>
        <w:rPr>
          <w:rFonts w:ascii="Times New Roman" w:hAnsi="Times New Roman" w:cs="Times New Roman"/>
          <w:szCs w:val="24"/>
        </w:rPr>
        <w:t xml:space="preserve">Aristovnik, A., Kovač, P., Leben, A., </w:t>
      </w:r>
      <w:proofErr w:type="spellStart"/>
      <w:r>
        <w:rPr>
          <w:rFonts w:ascii="Times New Roman" w:hAnsi="Times New Roman" w:cs="Times New Roman"/>
          <w:szCs w:val="24"/>
        </w:rPr>
        <w:t>Murko</w:t>
      </w:r>
      <w:proofErr w:type="spellEnd"/>
      <w:r>
        <w:rPr>
          <w:rFonts w:ascii="Times New Roman" w:hAnsi="Times New Roman" w:cs="Times New Roman"/>
          <w:szCs w:val="24"/>
        </w:rPr>
        <w:t xml:space="preserve">, E., Ravšelj, D., Umek, L., </w:t>
      </w:r>
      <w:proofErr w:type="spellStart"/>
      <w:r>
        <w:rPr>
          <w:rFonts w:ascii="Times New Roman" w:hAnsi="Times New Roman" w:cs="Times New Roman"/>
          <w:szCs w:val="24"/>
        </w:rPr>
        <w:t>Bohatá</w:t>
      </w:r>
      <w:proofErr w:type="spellEnd"/>
      <w:r>
        <w:rPr>
          <w:rFonts w:ascii="Times New Roman" w:hAnsi="Times New Roman" w:cs="Times New Roman"/>
          <w:szCs w:val="24"/>
        </w:rPr>
        <w:t>, M., Hirsch, B., Schäfer, F.-S., Tomaževič, N. (2021): The Digitalization of Local General Administrative Authorities During Covid-19 for a Sustainable Future: Comparing Five European Countries, Sustainability, in press.</w:t>
      </w:r>
    </w:p>
    <w:p w14:paraId="48CA741E" w14:textId="198541C8" w:rsidR="001C2043"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Aristovnik, A., Kovač, P., Leben, A., Tomaževič, N. (2018): Excellence in public administration: job satisfaction as a factor of good administration. International Journal of Human Resources Development and Management 18, 127-144.</w:t>
      </w:r>
    </w:p>
    <w:p w14:paraId="19D5704D" w14:textId="77777777" w:rsidR="00035E8B"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Berg-Schlosser, D. (2004): The quality of democracies in Europe as measured by current indicators of democratization and good governance, Journal of Communist Studies and Transition Politics 20, 28-55.</w:t>
      </w:r>
    </w:p>
    <w:p w14:paraId="2C4205CD" w14:textId="77777777" w:rsidR="003433B6"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Berg-Schlosser, D. (2006): Political science in Europe: diversity, excellence, relevance, European Political Science 5, 163–170.</w:t>
      </w:r>
    </w:p>
    <w:p w14:paraId="7BE55C6A" w14:textId="77777777" w:rsidR="006F4664"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Bohata, M. (2020): Covid-19 and Public Sector Organizations – The Case of the Czech Republic. In: Tomaževič, N., Ravšelj, D. (eds.): The COVID-19 Pandemic and Public Organizations: Challenges and opportunities, Brussels, 22-27.</w:t>
      </w:r>
    </w:p>
    <w:p w14:paraId="291751A2" w14:textId="77777777" w:rsidR="003433B6"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Bouckaert, G., Galli, D., Kuhlmann, S., Reiter, R., Van Hecke, S. (2020): European </w:t>
      </w:r>
      <w:proofErr w:type="spellStart"/>
      <w:r w:rsidRPr="007F5499">
        <w:rPr>
          <w:rFonts w:ascii="Times New Roman" w:hAnsi="Times New Roman" w:cs="Times New Roman"/>
          <w:szCs w:val="24"/>
        </w:rPr>
        <w:t>Coronationalism</w:t>
      </w:r>
      <w:proofErr w:type="spellEnd"/>
      <w:r w:rsidRPr="007F5499">
        <w:rPr>
          <w:rFonts w:ascii="Times New Roman" w:hAnsi="Times New Roman" w:cs="Times New Roman"/>
          <w:szCs w:val="24"/>
        </w:rPr>
        <w:t>? A Hot Spot Governing a Pandemic Crisis, Public Administration Review, 80, 765-773.</w:t>
      </w:r>
    </w:p>
    <w:p w14:paraId="7EA388E4" w14:textId="77777777" w:rsidR="000E4E19"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Chang, S.-J., van </w:t>
      </w:r>
      <w:proofErr w:type="spellStart"/>
      <w:r w:rsidRPr="007F5499">
        <w:rPr>
          <w:rFonts w:ascii="Times New Roman" w:hAnsi="Times New Roman" w:cs="Times New Roman"/>
          <w:szCs w:val="24"/>
        </w:rPr>
        <w:t>Witteloostuijn</w:t>
      </w:r>
      <w:proofErr w:type="spellEnd"/>
      <w:r w:rsidRPr="007F5499">
        <w:rPr>
          <w:rFonts w:ascii="Times New Roman" w:hAnsi="Times New Roman" w:cs="Times New Roman"/>
          <w:szCs w:val="24"/>
        </w:rPr>
        <w:t>, A., Eden, L. (2010): From the Editors: Common method variance in international business research, Journal of International Business Studies 41, 178–184.</w:t>
      </w:r>
    </w:p>
    <w:p w14:paraId="23D081BF" w14:textId="16ED7FD1" w:rsidR="00570E50" w:rsidRDefault="001A0BF5" w:rsidP="00570E50">
      <w:pPr>
        <w:spacing w:line="240" w:lineRule="auto"/>
        <w:jc w:val="both"/>
        <w:rPr>
          <w:rFonts w:ascii="Times New Roman" w:hAnsi="Times New Roman" w:cs="Times New Roman"/>
          <w:szCs w:val="24"/>
        </w:rPr>
      </w:pPr>
      <w:r>
        <w:rPr>
          <w:rFonts w:ascii="Times New Roman" w:hAnsi="Times New Roman" w:cs="Times New Roman"/>
          <w:szCs w:val="24"/>
        </w:rPr>
        <w:t xml:space="preserve">DiMaggio, P., Powell, W.W. (1983): The iron cage revisited: Collective rationality and institutional isomorphism in organizational fields. American Sociological Review 48, 147-160.Dirani, </w:t>
      </w:r>
      <w:proofErr w:type="spellStart"/>
      <w:r>
        <w:rPr>
          <w:rFonts w:ascii="Times New Roman" w:hAnsi="Times New Roman" w:cs="Times New Roman"/>
          <w:szCs w:val="24"/>
        </w:rPr>
        <w:t>K.M.,Abadi</w:t>
      </w:r>
      <w:proofErr w:type="spellEnd"/>
      <w:r>
        <w:rPr>
          <w:rFonts w:ascii="Times New Roman" w:hAnsi="Times New Roman" w:cs="Times New Roman"/>
          <w:szCs w:val="24"/>
        </w:rPr>
        <w:t xml:space="preserve">, M., Alizadeh, A., </w:t>
      </w:r>
      <w:proofErr w:type="spellStart"/>
      <w:r>
        <w:rPr>
          <w:rFonts w:ascii="Times New Roman" w:hAnsi="Times New Roman" w:cs="Times New Roman"/>
          <w:szCs w:val="24"/>
        </w:rPr>
        <w:t>Barhate</w:t>
      </w:r>
      <w:proofErr w:type="spellEnd"/>
      <w:r>
        <w:rPr>
          <w:rFonts w:ascii="Times New Roman" w:hAnsi="Times New Roman" w:cs="Times New Roman"/>
          <w:szCs w:val="24"/>
        </w:rPr>
        <w:t xml:space="preserve">, B., Garza, R.C., </w:t>
      </w:r>
      <w:proofErr w:type="spellStart"/>
      <w:r>
        <w:rPr>
          <w:rFonts w:ascii="Times New Roman" w:hAnsi="Times New Roman" w:cs="Times New Roman"/>
          <w:szCs w:val="24"/>
        </w:rPr>
        <w:t>Gunasekara</w:t>
      </w:r>
      <w:proofErr w:type="spellEnd"/>
      <w:r>
        <w:rPr>
          <w:rFonts w:ascii="Times New Roman" w:hAnsi="Times New Roman" w:cs="Times New Roman"/>
          <w:szCs w:val="24"/>
        </w:rPr>
        <w:t xml:space="preserve">, N., Ibrahim, G., </w:t>
      </w:r>
      <w:proofErr w:type="spellStart"/>
      <w:r>
        <w:rPr>
          <w:rFonts w:ascii="Times New Roman" w:hAnsi="Times New Roman" w:cs="Times New Roman"/>
          <w:szCs w:val="24"/>
        </w:rPr>
        <w:t>Majzun</w:t>
      </w:r>
      <w:proofErr w:type="spellEnd"/>
      <w:r>
        <w:rPr>
          <w:rFonts w:ascii="Times New Roman" w:hAnsi="Times New Roman" w:cs="Times New Roman"/>
          <w:szCs w:val="24"/>
        </w:rPr>
        <w:t>, Z. (2020): Leadership competencies and the essential role of human resource development in times of crisis: a response to Covid-19 pandemic, Human Resource Development International, 23, 380-394.</w:t>
      </w:r>
    </w:p>
    <w:p w14:paraId="57E5FAD2" w14:textId="110E3782" w:rsidR="00E513AA" w:rsidRPr="007F5499" w:rsidRDefault="00066F6D" w:rsidP="00DE62D0">
      <w:pPr>
        <w:spacing w:line="240" w:lineRule="auto"/>
        <w:jc w:val="both"/>
        <w:rPr>
          <w:rFonts w:ascii="Times New Roman" w:hAnsi="Times New Roman" w:cs="Times New Roman"/>
          <w:szCs w:val="24"/>
        </w:rPr>
      </w:pPr>
      <w:proofErr w:type="spellStart"/>
      <w:r w:rsidRPr="007F5499">
        <w:rPr>
          <w:rFonts w:ascii="Times New Roman" w:hAnsi="Times New Roman" w:cs="Times New Roman"/>
          <w:szCs w:val="24"/>
        </w:rPr>
        <w:t>Dzigbede</w:t>
      </w:r>
      <w:proofErr w:type="spellEnd"/>
      <w:r w:rsidRPr="007F5499">
        <w:rPr>
          <w:rFonts w:ascii="Times New Roman" w:hAnsi="Times New Roman" w:cs="Times New Roman"/>
          <w:szCs w:val="24"/>
        </w:rPr>
        <w:t>, K.D., Gehl, S.B., Willoughby, K. (2020): Disaster Resiliency of U.S. Local Governments: Insights to Strengthen Local Response and Recovery from the COVID-19 Pandemic. Public Administration Review 80, 634–643.</w:t>
      </w:r>
    </w:p>
    <w:p w14:paraId="2CD42F5E" w14:textId="77777777" w:rsidR="00B6646B"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Eyob, E. (2004): E-government: Breaking the frontiers of inefficiencies in the public sector. Electronic Government: An International Journal 1, 107–114.</w:t>
      </w:r>
    </w:p>
    <w:p w14:paraId="632A0442" w14:textId="77777777" w:rsidR="006528C7"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lastRenderedPageBreak/>
        <w:t>Fleischer, J., Carstens, N. (2021): Policy labs as arenas for boundary spanning: inside the digital transformation in Germany, Public Management Review, DOI: 10.1080/14719037.2021.1893803</w:t>
      </w:r>
    </w:p>
    <w:p w14:paraId="5DF25362" w14:textId="77777777" w:rsidR="0003042D" w:rsidRPr="007F5499" w:rsidRDefault="00066F6D" w:rsidP="0003042D">
      <w:pPr>
        <w:spacing w:line="240" w:lineRule="auto"/>
        <w:jc w:val="both"/>
        <w:rPr>
          <w:rFonts w:ascii="Times New Roman" w:hAnsi="Times New Roman" w:cs="Times New Roman"/>
          <w:szCs w:val="24"/>
        </w:rPr>
      </w:pPr>
      <w:r w:rsidRPr="007F5499">
        <w:rPr>
          <w:rFonts w:ascii="Times New Roman" w:hAnsi="Times New Roman" w:cs="Times New Roman"/>
          <w:szCs w:val="24"/>
        </w:rPr>
        <w:t>Gabryelczyk, R. (2020): Has COVID-19 Accelerated Digital Transformation? Initial Lessons Learned for Public Administrations. Information Systems Management 37, 303-309.</w:t>
      </w:r>
    </w:p>
    <w:p w14:paraId="22ED45FE" w14:textId="77777777" w:rsidR="00796747"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Grossi, G., Reichard, C. (2008): Municipal Corporatization in Germany and Italy. Public Management Review 10, 597–617.</w:t>
      </w:r>
    </w:p>
    <w:p w14:paraId="03A2D787" w14:textId="1B95FECA" w:rsidR="00D26C9F"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Hackney, R., Jones, S., </w:t>
      </w:r>
      <w:proofErr w:type="spellStart"/>
      <w:r w:rsidRPr="007F5499">
        <w:rPr>
          <w:rFonts w:ascii="Times New Roman" w:hAnsi="Times New Roman" w:cs="Times New Roman"/>
          <w:szCs w:val="24"/>
        </w:rPr>
        <w:t>Lösch</w:t>
      </w:r>
      <w:proofErr w:type="spellEnd"/>
      <w:r w:rsidRPr="007F5499">
        <w:rPr>
          <w:rFonts w:ascii="Times New Roman" w:hAnsi="Times New Roman" w:cs="Times New Roman"/>
          <w:szCs w:val="24"/>
        </w:rPr>
        <w:t xml:space="preserve">, A. (2007): Towards an e-Government efficiency agenda: The impact of information and communication </w:t>
      </w:r>
      <w:proofErr w:type="spellStart"/>
      <w:r w:rsidRPr="007F5499">
        <w:rPr>
          <w:rFonts w:ascii="Times New Roman" w:hAnsi="Times New Roman" w:cs="Times New Roman"/>
          <w:szCs w:val="24"/>
        </w:rPr>
        <w:t>behavior</w:t>
      </w:r>
      <w:proofErr w:type="spellEnd"/>
      <w:r w:rsidRPr="007F5499">
        <w:rPr>
          <w:rFonts w:ascii="Times New Roman" w:hAnsi="Times New Roman" w:cs="Times New Roman"/>
          <w:szCs w:val="24"/>
        </w:rPr>
        <w:t xml:space="preserve"> on e-Reverse auctions in public sector procurement. European Journal of Information Systems 16, 178–191.</w:t>
      </w:r>
    </w:p>
    <w:p w14:paraId="1932F6A4" w14:textId="77777777" w:rsidR="00B9446A" w:rsidRPr="007F5499" w:rsidRDefault="00066F6D" w:rsidP="00B9446A">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Hair, J. F., Black, W.C., </w:t>
      </w:r>
      <w:proofErr w:type="spellStart"/>
      <w:r w:rsidRPr="007F5499">
        <w:rPr>
          <w:rFonts w:ascii="Times New Roman" w:hAnsi="Times New Roman" w:cs="Times New Roman"/>
          <w:szCs w:val="24"/>
        </w:rPr>
        <w:t>Babin</w:t>
      </w:r>
      <w:proofErr w:type="spellEnd"/>
      <w:r w:rsidRPr="007F5499">
        <w:rPr>
          <w:rFonts w:ascii="Times New Roman" w:hAnsi="Times New Roman" w:cs="Times New Roman"/>
          <w:szCs w:val="24"/>
        </w:rPr>
        <w:t>, B.J., Anderson, R.E. (2019): Multivariate data analysis. Eighth edition. Andover, Hampshire: Cengage Learning EMEA.</w:t>
      </w:r>
    </w:p>
    <w:p w14:paraId="532CA594" w14:textId="77777777" w:rsidR="00B9446A" w:rsidRPr="007F5499" w:rsidRDefault="00066F6D" w:rsidP="00B9446A">
      <w:pPr>
        <w:spacing w:line="240" w:lineRule="auto"/>
        <w:jc w:val="both"/>
        <w:rPr>
          <w:rFonts w:ascii="Times New Roman" w:hAnsi="Times New Roman" w:cs="Times New Roman"/>
          <w:szCs w:val="24"/>
        </w:rPr>
      </w:pPr>
      <w:r w:rsidRPr="007F5499">
        <w:rPr>
          <w:rFonts w:ascii="Times New Roman" w:hAnsi="Times New Roman" w:cs="Times New Roman"/>
          <w:szCs w:val="24"/>
        </w:rPr>
        <w:t>Hair Jr, J. F., Howard, M. C., &amp; Nitzl, C. (2020): Assessing measurement model quality in PLS-SEM using confirmatory composite analysis. Journal of Business Research 109, 101-110.</w:t>
      </w:r>
    </w:p>
    <w:p w14:paraId="72D8FADA" w14:textId="447C51B8" w:rsidR="00355C1E"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Hair, J.F., </w:t>
      </w:r>
      <w:proofErr w:type="spellStart"/>
      <w:r w:rsidRPr="007F5499">
        <w:rPr>
          <w:rFonts w:ascii="Times New Roman" w:hAnsi="Times New Roman" w:cs="Times New Roman"/>
          <w:szCs w:val="24"/>
        </w:rPr>
        <w:t>Hult</w:t>
      </w:r>
      <w:proofErr w:type="spellEnd"/>
      <w:r w:rsidRPr="007F5499">
        <w:rPr>
          <w:rFonts w:ascii="Times New Roman" w:hAnsi="Times New Roman" w:cs="Times New Roman"/>
          <w:szCs w:val="24"/>
        </w:rPr>
        <w:t xml:space="preserve">, G.T.M., </w:t>
      </w:r>
      <w:proofErr w:type="spellStart"/>
      <w:r w:rsidRPr="007F5499">
        <w:rPr>
          <w:rFonts w:ascii="Times New Roman" w:hAnsi="Times New Roman" w:cs="Times New Roman"/>
          <w:szCs w:val="24"/>
        </w:rPr>
        <w:t>Ringle</w:t>
      </w:r>
      <w:proofErr w:type="spellEnd"/>
      <w:r w:rsidRPr="007F5499">
        <w:rPr>
          <w:rFonts w:ascii="Times New Roman" w:hAnsi="Times New Roman" w:cs="Times New Roman"/>
          <w:szCs w:val="24"/>
        </w:rPr>
        <w:t xml:space="preserve">, C.M., Sarstedt, M. (2017): A primer on partial least squares structural equation </w:t>
      </w:r>
      <w:proofErr w:type="spellStart"/>
      <w:r w:rsidRPr="007F5499">
        <w:rPr>
          <w:rFonts w:ascii="Times New Roman" w:hAnsi="Times New Roman" w:cs="Times New Roman"/>
          <w:szCs w:val="24"/>
        </w:rPr>
        <w:t>modeling</w:t>
      </w:r>
      <w:proofErr w:type="spellEnd"/>
      <w:r w:rsidRPr="007F5499">
        <w:rPr>
          <w:rFonts w:ascii="Times New Roman" w:hAnsi="Times New Roman" w:cs="Times New Roman"/>
          <w:szCs w:val="24"/>
        </w:rPr>
        <w:t xml:space="preserve"> (PLS-SEM). Second edition. Los Angeles, London, New Delhi, Singapore, Washington DC, Melbourne.</w:t>
      </w:r>
    </w:p>
    <w:p w14:paraId="091C601B" w14:textId="22088DF8" w:rsidR="00A31266"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Hammerschmid, G., van de </w:t>
      </w:r>
      <w:proofErr w:type="spellStart"/>
      <w:r w:rsidRPr="007F5499">
        <w:rPr>
          <w:rFonts w:ascii="Times New Roman" w:hAnsi="Times New Roman" w:cs="Times New Roman"/>
          <w:szCs w:val="24"/>
        </w:rPr>
        <w:t>Walle</w:t>
      </w:r>
      <w:proofErr w:type="spellEnd"/>
      <w:r w:rsidRPr="007F5499">
        <w:rPr>
          <w:rFonts w:ascii="Times New Roman" w:hAnsi="Times New Roman" w:cs="Times New Roman"/>
          <w:szCs w:val="24"/>
        </w:rPr>
        <w:t>, S., Andrews, R., Bezes, P. (2016): Public administration reforms in Europe: The view from the top. Cheltenham, Northampton.</w:t>
      </w:r>
    </w:p>
    <w:p w14:paraId="209F964C" w14:textId="77777777" w:rsidR="007943FA"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Hiebl, M.R.W. (2018): Management accounting as a political resource for enabling embedded agency, Management Accounting Research 38, 22-38.</w:t>
      </w:r>
    </w:p>
    <w:p w14:paraId="255594B6" w14:textId="77777777" w:rsidR="001162CC"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Hiebl, M., Richter, F. (2018): Response rates in management accounting survey research, Journal of Management Accounting Research 30, 59–79.</w:t>
      </w:r>
    </w:p>
    <w:p w14:paraId="5F36DF4F" w14:textId="77777777" w:rsidR="002C773C"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Hodžić, S., Ravšelj, D., </w:t>
      </w:r>
      <w:proofErr w:type="spellStart"/>
      <w:r w:rsidRPr="007F5499">
        <w:rPr>
          <w:rFonts w:ascii="Times New Roman" w:hAnsi="Times New Roman" w:cs="Times New Roman"/>
          <w:szCs w:val="24"/>
        </w:rPr>
        <w:t>Alibegović</w:t>
      </w:r>
      <w:proofErr w:type="spellEnd"/>
      <w:r w:rsidRPr="007F5499">
        <w:rPr>
          <w:rFonts w:ascii="Times New Roman" w:hAnsi="Times New Roman" w:cs="Times New Roman"/>
          <w:szCs w:val="24"/>
        </w:rPr>
        <w:t>, D.J. (2021): E-Government Effectiveness and Efficiency in EU-28 and COVID-19. Central European Public Administration Review 19, 159–180.</w:t>
      </w:r>
    </w:p>
    <w:p w14:paraId="5721C7B1" w14:textId="77777777" w:rsidR="00796747"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Janssen, M., Estevez, E. (2013): Lean government and platform-based governance—Doing more with less. Government Information Quarterly 30, S1–S8.</w:t>
      </w:r>
    </w:p>
    <w:p w14:paraId="45F6C404" w14:textId="77777777" w:rsidR="00870B0B"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Kaufmann, D., </w:t>
      </w:r>
      <w:proofErr w:type="spellStart"/>
      <w:r w:rsidRPr="007F5499">
        <w:rPr>
          <w:rFonts w:ascii="Times New Roman" w:hAnsi="Times New Roman" w:cs="Times New Roman"/>
          <w:szCs w:val="24"/>
        </w:rPr>
        <w:t>Kraay</w:t>
      </w:r>
      <w:proofErr w:type="spellEnd"/>
      <w:r w:rsidRPr="007F5499">
        <w:rPr>
          <w:rFonts w:ascii="Times New Roman" w:hAnsi="Times New Roman" w:cs="Times New Roman"/>
          <w:szCs w:val="24"/>
        </w:rPr>
        <w:t xml:space="preserve">, A., </w:t>
      </w:r>
      <w:proofErr w:type="spellStart"/>
      <w:r w:rsidRPr="007F5499">
        <w:rPr>
          <w:rFonts w:ascii="Times New Roman" w:hAnsi="Times New Roman" w:cs="Times New Roman"/>
          <w:szCs w:val="24"/>
        </w:rPr>
        <w:t>Mastruzzi</w:t>
      </w:r>
      <w:proofErr w:type="spellEnd"/>
      <w:r w:rsidRPr="007F5499">
        <w:rPr>
          <w:rFonts w:ascii="Times New Roman" w:hAnsi="Times New Roman" w:cs="Times New Roman"/>
          <w:szCs w:val="24"/>
        </w:rPr>
        <w:t>, M. (2010): The Worldwide Governance Indicators: Methodology and Analytical Issues. Washington, DC.</w:t>
      </w:r>
    </w:p>
    <w:p w14:paraId="21436FF2" w14:textId="7057E059" w:rsidR="00214037" w:rsidRPr="007F5499" w:rsidRDefault="00066F6D" w:rsidP="00214037">
      <w:pPr>
        <w:spacing w:line="240" w:lineRule="auto"/>
        <w:jc w:val="both"/>
        <w:rPr>
          <w:rFonts w:ascii="Times New Roman" w:hAnsi="Times New Roman" w:cs="Times New Roman"/>
          <w:szCs w:val="24"/>
        </w:rPr>
      </w:pPr>
      <w:r w:rsidRPr="007F5499">
        <w:rPr>
          <w:rFonts w:ascii="Times New Roman" w:hAnsi="Times New Roman" w:cs="Times New Roman"/>
          <w:szCs w:val="24"/>
        </w:rPr>
        <w:t>Kovač, P., and Bileišis, M. (eds.) (2017): Public administration reforms in Eastern European Union member states: post-accession convergence and divergence. Ljubljana. Vilnius.</w:t>
      </w:r>
    </w:p>
    <w:p w14:paraId="4807D3D7" w14:textId="77777777" w:rsidR="00E62053"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Kovač, P., Tomaževič, N., Leben, A., Aristovnik, A. (2016): Reforming public administration in Slovenia: between theory and practice of good governance and good administration. International Journal of Public Policy 12, 130-148.</w:t>
      </w:r>
    </w:p>
    <w:p w14:paraId="0D69ECB1" w14:textId="77777777" w:rsidR="00214037" w:rsidRPr="007F5499" w:rsidRDefault="00066F6D" w:rsidP="00214037">
      <w:pPr>
        <w:spacing w:line="240" w:lineRule="auto"/>
        <w:jc w:val="both"/>
        <w:rPr>
          <w:rFonts w:ascii="Times New Roman" w:hAnsi="Times New Roman" w:cs="Times New Roman"/>
          <w:szCs w:val="24"/>
        </w:rPr>
      </w:pPr>
      <w:r w:rsidRPr="007F5499">
        <w:rPr>
          <w:rFonts w:ascii="Times New Roman" w:hAnsi="Times New Roman" w:cs="Times New Roman"/>
          <w:szCs w:val="24"/>
        </w:rPr>
        <w:t>Kuhlmann, S., Heuberger, M. (2021): Digital transformation going local: implementation, impacts and constraints from a German perspective, Public Money &amp; Management, DOI: 10.1080/09540962.2021.1939584</w:t>
      </w:r>
    </w:p>
    <w:p w14:paraId="6CA8D198" w14:textId="77777777" w:rsidR="00C872B1"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Kuhlmann, S., and Wollmann, H. (2019): Introduction to Comparative Public Administration: Administrative Systems and Reform in Europe. Cheltenham.</w:t>
      </w:r>
    </w:p>
    <w:p w14:paraId="5299DF97" w14:textId="77777777" w:rsidR="00AB7E7E"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Mathis, K. (2014): Cultures of Administrative Law in Europe: From Weberian Bureaucracy to Law and Economics. In: </w:t>
      </w:r>
      <w:proofErr w:type="spellStart"/>
      <w:r w:rsidRPr="007F5499">
        <w:rPr>
          <w:rFonts w:ascii="Times New Roman" w:hAnsi="Times New Roman" w:cs="Times New Roman"/>
          <w:szCs w:val="24"/>
        </w:rPr>
        <w:t>Helleringer</w:t>
      </w:r>
      <w:proofErr w:type="spellEnd"/>
      <w:r w:rsidRPr="007F5499">
        <w:rPr>
          <w:rFonts w:ascii="Times New Roman" w:hAnsi="Times New Roman" w:cs="Times New Roman"/>
          <w:szCs w:val="24"/>
        </w:rPr>
        <w:t xml:space="preserve">, G., </w:t>
      </w:r>
      <w:proofErr w:type="spellStart"/>
      <w:r w:rsidRPr="007F5499">
        <w:rPr>
          <w:rFonts w:ascii="Times New Roman" w:hAnsi="Times New Roman" w:cs="Times New Roman"/>
          <w:szCs w:val="24"/>
        </w:rPr>
        <w:t>Purnhagen</w:t>
      </w:r>
      <w:proofErr w:type="spellEnd"/>
      <w:r w:rsidRPr="007F5499">
        <w:rPr>
          <w:rFonts w:ascii="Times New Roman" w:hAnsi="Times New Roman" w:cs="Times New Roman"/>
          <w:szCs w:val="24"/>
        </w:rPr>
        <w:t xml:space="preserve"> K.P. (eds): Towards a European Legal Culture. Baden- Baden, München, Oxford, 139–162.</w:t>
      </w:r>
    </w:p>
    <w:p w14:paraId="74238509" w14:textId="7646B4BC" w:rsidR="00CB150F"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Meyer, R.E, Hammerschmid, G. (2006): Changing institutional logics and executive identities: A managerial challenge to public administration in Austria. American Behavioral Scientist 49, 1000-1014.</w:t>
      </w:r>
    </w:p>
    <w:p w14:paraId="09FE73F4" w14:textId="77777777" w:rsidR="00B6646B"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lastRenderedPageBreak/>
        <w:t>Moon, M. J., Norris, D. F. (2005): Does managerial orientation matter? The adoption of reinventing government and e‐government at the municipal level. Information Systems Journal 15, 43–60.</w:t>
      </w:r>
    </w:p>
    <w:p w14:paraId="01B2FD2F" w14:textId="77777777" w:rsidR="00B0729E" w:rsidRPr="007F5499" w:rsidRDefault="00066F6D" w:rsidP="00DE62D0">
      <w:pPr>
        <w:spacing w:line="240" w:lineRule="auto"/>
        <w:jc w:val="both"/>
        <w:rPr>
          <w:rFonts w:ascii="Times New Roman" w:hAnsi="Times New Roman" w:cs="Times New Roman"/>
          <w:szCs w:val="24"/>
        </w:rPr>
      </w:pPr>
      <w:r w:rsidRPr="007F5499">
        <w:rPr>
          <w:rFonts w:ascii="Tahoma" w:hAnsi="Tahoma" w:cs="Tahoma"/>
          <w:szCs w:val="24"/>
        </w:rPr>
        <w:t>﻿</w:t>
      </w:r>
      <w:r w:rsidR="00C628BA" w:rsidRPr="007F5499">
        <w:rPr>
          <w:rFonts w:ascii="Times New Roman" w:hAnsi="Times New Roman" w:cs="Times New Roman"/>
          <w:szCs w:val="24"/>
        </w:rPr>
        <w:t>Nam, T. (2019): Does E-Government Raise Effectiveness and Efficiency? Examining the Cross-National Effect. Journal of Global Information Management 27, 120-138.</w:t>
      </w:r>
    </w:p>
    <w:p w14:paraId="4AA7A7A0" w14:textId="77777777" w:rsidR="000E4E19" w:rsidRPr="007F5499" w:rsidRDefault="00066F6D" w:rsidP="00DE62D0">
      <w:pPr>
        <w:spacing w:line="240" w:lineRule="auto"/>
        <w:jc w:val="both"/>
        <w:rPr>
          <w:rFonts w:ascii="Times New Roman" w:hAnsi="Times New Roman" w:cs="Times New Roman"/>
          <w:szCs w:val="24"/>
        </w:rPr>
      </w:pPr>
      <w:proofErr w:type="spellStart"/>
      <w:r w:rsidRPr="007F5499">
        <w:rPr>
          <w:rFonts w:ascii="Times New Roman" w:hAnsi="Times New Roman" w:cs="Times New Roman"/>
          <w:szCs w:val="24"/>
        </w:rPr>
        <w:t>Nicolaou</w:t>
      </w:r>
      <w:proofErr w:type="spellEnd"/>
      <w:r w:rsidRPr="007F5499">
        <w:rPr>
          <w:rFonts w:ascii="Times New Roman" w:hAnsi="Times New Roman" w:cs="Times New Roman"/>
          <w:szCs w:val="24"/>
        </w:rPr>
        <w:t xml:space="preserve">, A.I., </w:t>
      </w:r>
      <w:proofErr w:type="spellStart"/>
      <w:r w:rsidRPr="007F5499">
        <w:rPr>
          <w:rFonts w:ascii="Times New Roman" w:hAnsi="Times New Roman" w:cs="Times New Roman"/>
          <w:szCs w:val="24"/>
        </w:rPr>
        <w:t>Sedatole</w:t>
      </w:r>
      <w:proofErr w:type="spellEnd"/>
      <w:r w:rsidRPr="007F5499">
        <w:rPr>
          <w:rFonts w:ascii="Times New Roman" w:hAnsi="Times New Roman" w:cs="Times New Roman"/>
          <w:szCs w:val="24"/>
        </w:rPr>
        <w:t xml:space="preserve">, K.L. and </w:t>
      </w:r>
      <w:proofErr w:type="spellStart"/>
      <w:r w:rsidRPr="007F5499">
        <w:rPr>
          <w:rFonts w:ascii="Times New Roman" w:hAnsi="Times New Roman" w:cs="Times New Roman"/>
          <w:szCs w:val="24"/>
        </w:rPr>
        <w:t>Lankton</w:t>
      </w:r>
      <w:proofErr w:type="spellEnd"/>
      <w:r w:rsidRPr="007F5499">
        <w:rPr>
          <w:rFonts w:ascii="Times New Roman" w:hAnsi="Times New Roman" w:cs="Times New Roman"/>
          <w:szCs w:val="24"/>
        </w:rPr>
        <w:t>, N.K. (2011): Integrated Information Systems and Alliance Partner Trust. Contemporary Accounting Research 28, 1018–1045.</w:t>
      </w:r>
    </w:p>
    <w:p w14:paraId="1CD67DC5" w14:textId="4FD915F9" w:rsidR="00FC2A30"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Nitzl, C. (2016): The Use of Partial Least Squares Structural Equation Modelling (PLS-SEM) in Management Accounting Research: Directions for Future Theory Development. Journal of Accounting Literature 39,19-35.</w:t>
      </w:r>
    </w:p>
    <w:p w14:paraId="6BA3B479" w14:textId="6EBCF602" w:rsidR="001C188A"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Nitzl, C., Roldan, J.L., Cepeda, G. (2016): Mediation analysis in partial least squares path </w:t>
      </w:r>
      <w:proofErr w:type="spellStart"/>
      <w:r w:rsidRPr="007F5499">
        <w:rPr>
          <w:rFonts w:ascii="Times New Roman" w:hAnsi="Times New Roman" w:cs="Times New Roman"/>
          <w:szCs w:val="24"/>
        </w:rPr>
        <w:t>modeling</w:t>
      </w:r>
      <w:proofErr w:type="spellEnd"/>
      <w:r w:rsidRPr="007F5499">
        <w:rPr>
          <w:rFonts w:ascii="Times New Roman" w:hAnsi="Times New Roman" w:cs="Times New Roman"/>
          <w:szCs w:val="24"/>
        </w:rPr>
        <w:t>. Industrial Management &amp; Data Systems 116, 1849–1864.</w:t>
      </w:r>
    </w:p>
    <w:p w14:paraId="024F71DC" w14:textId="77777777" w:rsidR="00FC2A30"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Nitzl, C., Hilgers, D., Hirsch, B., Lindermüller, D. (2020): The Influence of the Organizational Structure, Environment, and Resource Provision on the Use of Accrual Accounting in Municipalities. </w:t>
      </w:r>
      <w:proofErr w:type="spellStart"/>
      <w:r w:rsidRPr="007F5499">
        <w:rPr>
          <w:rFonts w:ascii="Times New Roman" w:hAnsi="Times New Roman" w:cs="Times New Roman"/>
          <w:szCs w:val="24"/>
        </w:rPr>
        <w:t>Schmalenbach</w:t>
      </w:r>
      <w:proofErr w:type="spellEnd"/>
      <w:r w:rsidRPr="007F5499">
        <w:rPr>
          <w:rFonts w:ascii="Times New Roman" w:hAnsi="Times New Roman" w:cs="Times New Roman"/>
          <w:szCs w:val="24"/>
        </w:rPr>
        <w:t xml:space="preserve"> Business Review 72, 271–298.</w:t>
      </w:r>
    </w:p>
    <w:p w14:paraId="3CCFA79D" w14:textId="77777777" w:rsidR="0048719B"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Norris, D. F., Moon, M. J. (2005): Advancing e‐government at the grassroots: Tortoise or hare? Public Administration Review 65, 64–75.</w:t>
      </w:r>
    </w:p>
    <w:p w14:paraId="055E0FB4" w14:textId="77777777" w:rsidR="003433B6"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Oliver, C. (1991): Strategic responses to institutional processes, Academy of Management Review 16, 145-179.</w:t>
      </w:r>
    </w:p>
    <w:p w14:paraId="048D1275" w14:textId="77777777" w:rsidR="00DD4AFE"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Osborne, D., </w:t>
      </w:r>
      <w:proofErr w:type="spellStart"/>
      <w:r w:rsidRPr="007F5499">
        <w:rPr>
          <w:rFonts w:ascii="Times New Roman" w:hAnsi="Times New Roman" w:cs="Times New Roman"/>
          <w:szCs w:val="24"/>
        </w:rPr>
        <w:t>Gaebler</w:t>
      </w:r>
      <w:proofErr w:type="spellEnd"/>
      <w:r w:rsidRPr="007F5499">
        <w:rPr>
          <w:rFonts w:ascii="Times New Roman" w:hAnsi="Times New Roman" w:cs="Times New Roman"/>
          <w:szCs w:val="24"/>
        </w:rPr>
        <w:t>, T. (1992): Reinventing Government: How the Entrepreneurial Spirit is Transforming the Public Sector. Reading, MA.</w:t>
      </w:r>
    </w:p>
    <w:p w14:paraId="3309D079" w14:textId="77777777" w:rsidR="00241AB2"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Painter, M., Peters, B.G. (eds) (2010): Tradition and Public Administration. Basingstoke.</w:t>
      </w:r>
    </w:p>
    <w:p w14:paraId="1A8F6DC1" w14:textId="5727189A" w:rsidR="00B97B64"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Parker, L. D. (2020): The COVID-19 office in transition: cost, efficiency and the social responsibility business case. Accounting, Auditing &amp; Accountability Journal 33, 1943-1967.</w:t>
      </w:r>
    </w:p>
    <w:p w14:paraId="0795A844" w14:textId="2DB6C546" w:rsidR="00193F23" w:rsidRPr="007F5499" w:rsidRDefault="00066F6D" w:rsidP="00DE62D0">
      <w:pPr>
        <w:spacing w:line="240" w:lineRule="auto"/>
        <w:jc w:val="both"/>
        <w:rPr>
          <w:rFonts w:ascii="Times New Roman" w:hAnsi="Times New Roman" w:cs="Times New Roman"/>
          <w:szCs w:val="24"/>
        </w:rPr>
      </w:pPr>
      <w:r w:rsidRPr="00193F23">
        <w:rPr>
          <w:rFonts w:ascii="Times New Roman" w:hAnsi="Times New Roman" w:cs="Times New Roman"/>
          <w:szCs w:val="24"/>
        </w:rPr>
        <w:t xml:space="preserve">Phillips, W., </w:t>
      </w:r>
      <w:proofErr w:type="spellStart"/>
      <w:r w:rsidRPr="00193F23">
        <w:rPr>
          <w:rFonts w:ascii="Times New Roman" w:hAnsi="Times New Roman" w:cs="Times New Roman"/>
          <w:szCs w:val="24"/>
        </w:rPr>
        <w:t>Roehrich</w:t>
      </w:r>
      <w:proofErr w:type="spellEnd"/>
      <w:r w:rsidRPr="00193F23">
        <w:rPr>
          <w:rFonts w:ascii="Times New Roman" w:hAnsi="Times New Roman" w:cs="Times New Roman"/>
          <w:szCs w:val="24"/>
        </w:rPr>
        <w:t xml:space="preserve">, J. K., </w:t>
      </w:r>
      <w:proofErr w:type="spellStart"/>
      <w:r w:rsidRPr="00193F23">
        <w:rPr>
          <w:rFonts w:ascii="Times New Roman" w:hAnsi="Times New Roman" w:cs="Times New Roman"/>
          <w:szCs w:val="24"/>
        </w:rPr>
        <w:t>Kapletia</w:t>
      </w:r>
      <w:proofErr w:type="spellEnd"/>
      <w:r w:rsidRPr="00193F23">
        <w:rPr>
          <w:rFonts w:ascii="Times New Roman" w:hAnsi="Times New Roman" w:cs="Times New Roman"/>
          <w:szCs w:val="24"/>
        </w:rPr>
        <w:t>, D. (2021): Responding to information asymmetry in crisis situations: innovation in the time of the COVID-19 pandemic. Public Management Review, DOI: 10.1080/14719037.2021.1960737</w:t>
      </w:r>
    </w:p>
    <w:p w14:paraId="0B7236A5" w14:textId="77777777" w:rsidR="00714F02"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Pina, V., Torres, L., </w:t>
      </w:r>
      <w:proofErr w:type="spellStart"/>
      <w:r w:rsidRPr="007F5499">
        <w:rPr>
          <w:rFonts w:ascii="Times New Roman" w:hAnsi="Times New Roman" w:cs="Times New Roman"/>
          <w:szCs w:val="24"/>
        </w:rPr>
        <w:t>Yetano</w:t>
      </w:r>
      <w:proofErr w:type="spellEnd"/>
      <w:r w:rsidRPr="007F5499">
        <w:rPr>
          <w:rFonts w:ascii="Times New Roman" w:hAnsi="Times New Roman" w:cs="Times New Roman"/>
          <w:szCs w:val="24"/>
        </w:rPr>
        <w:t>, A. (2009): Accrual accounting in EU Local Governments: One Method, Several Approaches. European Accounting Review 18, 765-807.</w:t>
      </w:r>
    </w:p>
    <w:p w14:paraId="37A70DE4" w14:textId="77777777" w:rsidR="00E82A2D" w:rsidRPr="007F5499" w:rsidRDefault="00066F6D" w:rsidP="00664DF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Ropret, M., Aristovnik, A., &amp; Kovač, P. (2018): A Content analysis of the rule of law within public governance models: old vs. new EU member states. Network of Institutes and Schools of Public Administration in Central and Eastern Europe. The </w:t>
      </w:r>
      <w:proofErr w:type="spellStart"/>
      <w:r w:rsidRPr="007F5499">
        <w:rPr>
          <w:rFonts w:ascii="Times New Roman" w:hAnsi="Times New Roman" w:cs="Times New Roman"/>
          <w:szCs w:val="24"/>
        </w:rPr>
        <w:t>NISPAcee</w:t>
      </w:r>
      <w:proofErr w:type="spellEnd"/>
      <w:r w:rsidRPr="007F5499">
        <w:rPr>
          <w:rFonts w:ascii="Times New Roman" w:hAnsi="Times New Roman" w:cs="Times New Roman"/>
          <w:szCs w:val="24"/>
        </w:rPr>
        <w:t xml:space="preserve"> Journal of Public Administration and Policy 11, 129-152.</w:t>
      </w:r>
    </w:p>
    <w:p w14:paraId="2E532947" w14:textId="77777777" w:rsidR="00015E3E"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 xml:space="preserve">Sarstedt, M., Hair, J.F., Nitzl, C., </w:t>
      </w:r>
      <w:proofErr w:type="spellStart"/>
      <w:r w:rsidRPr="007F5499">
        <w:rPr>
          <w:rFonts w:ascii="Times New Roman" w:hAnsi="Times New Roman" w:cs="Times New Roman"/>
          <w:szCs w:val="24"/>
        </w:rPr>
        <w:t>Ringle</w:t>
      </w:r>
      <w:proofErr w:type="spellEnd"/>
      <w:r w:rsidRPr="007F5499">
        <w:rPr>
          <w:rFonts w:ascii="Times New Roman" w:hAnsi="Times New Roman" w:cs="Times New Roman"/>
          <w:szCs w:val="24"/>
        </w:rPr>
        <w:t>, C.M., Howard, M.C. (2020): Beyond a tandem analysis of SEM and PROCESS: Use of PLS-SEM for mediation analyses! International Journal of Market Research. 62, 288–299.</w:t>
      </w:r>
    </w:p>
    <w:p w14:paraId="47636362" w14:textId="23018151" w:rsidR="00015E3E" w:rsidRPr="007F5499" w:rsidRDefault="004A22EC" w:rsidP="00DE62D0">
      <w:pPr>
        <w:spacing w:line="240" w:lineRule="auto"/>
        <w:jc w:val="both"/>
        <w:rPr>
          <w:rFonts w:ascii="Times New Roman" w:hAnsi="Times New Roman" w:cs="Times New Roman"/>
          <w:szCs w:val="24"/>
        </w:rPr>
      </w:pPr>
      <w:r>
        <w:rPr>
          <w:rFonts w:ascii="Times New Roman" w:hAnsi="Times New Roman" w:cs="Times New Roman"/>
          <w:szCs w:val="24"/>
        </w:rPr>
        <w:t>Schäfer, F.-S., Hirsch, B. and Nitzl, C. (2021): Stakeholder pressure as a driver of risk management practices in public administrations. Journal of Accounting &amp; Organizational Change18, 33-56.</w:t>
      </w:r>
    </w:p>
    <w:p w14:paraId="4AE8713B" w14:textId="77777777" w:rsidR="003433B6"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Schomaker, R.M., and Bauer, M.W. (2020): What Drives Successful Administrative Performance during Crises? Lessons from Refugee Migration and the Covid-19 Pandemic. Public Administration Review 80, 845–850.</w:t>
      </w:r>
    </w:p>
    <w:p w14:paraId="524CBAFA" w14:textId="77777777" w:rsidR="003433B6"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Schuster, C., Weitzman, L., Mikkelsen, K.S., Meyer‐</w:t>
      </w:r>
      <w:proofErr w:type="spellStart"/>
      <w:r w:rsidRPr="007F5499">
        <w:rPr>
          <w:rFonts w:ascii="Times New Roman" w:hAnsi="Times New Roman" w:cs="Times New Roman"/>
          <w:szCs w:val="24"/>
        </w:rPr>
        <w:t>Sahling</w:t>
      </w:r>
      <w:proofErr w:type="spellEnd"/>
      <w:r w:rsidRPr="007F5499">
        <w:rPr>
          <w:rFonts w:ascii="Times New Roman" w:hAnsi="Times New Roman" w:cs="Times New Roman"/>
          <w:szCs w:val="24"/>
        </w:rPr>
        <w:t xml:space="preserve">, J., </w:t>
      </w:r>
      <w:proofErr w:type="spellStart"/>
      <w:r w:rsidRPr="007F5499">
        <w:rPr>
          <w:rFonts w:ascii="Times New Roman" w:hAnsi="Times New Roman" w:cs="Times New Roman"/>
          <w:szCs w:val="24"/>
        </w:rPr>
        <w:t>Bersch</w:t>
      </w:r>
      <w:proofErr w:type="spellEnd"/>
      <w:r w:rsidRPr="007F5499">
        <w:rPr>
          <w:rFonts w:ascii="Times New Roman" w:hAnsi="Times New Roman" w:cs="Times New Roman"/>
          <w:szCs w:val="24"/>
        </w:rPr>
        <w:t xml:space="preserve">, K., Fukuyama, F., </w:t>
      </w:r>
      <w:proofErr w:type="spellStart"/>
      <w:r w:rsidRPr="007F5499">
        <w:rPr>
          <w:rFonts w:ascii="Times New Roman" w:hAnsi="Times New Roman" w:cs="Times New Roman"/>
          <w:szCs w:val="24"/>
        </w:rPr>
        <w:t>Paskov</w:t>
      </w:r>
      <w:proofErr w:type="spellEnd"/>
      <w:r w:rsidRPr="007F5499">
        <w:rPr>
          <w:rFonts w:ascii="Times New Roman" w:hAnsi="Times New Roman" w:cs="Times New Roman"/>
          <w:szCs w:val="24"/>
        </w:rPr>
        <w:t xml:space="preserve">, P., </w:t>
      </w:r>
      <w:proofErr w:type="spellStart"/>
      <w:r w:rsidRPr="007F5499">
        <w:rPr>
          <w:rFonts w:ascii="Times New Roman" w:hAnsi="Times New Roman" w:cs="Times New Roman"/>
          <w:szCs w:val="24"/>
        </w:rPr>
        <w:t>Rogger</w:t>
      </w:r>
      <w:proofErr w:type="spellEnd"/>
      <w:r w:rsidRPr="007F5499">
        <w:rPr>
          <w:rFonts w:ascii="Times New Roman" w:hAnsi="Times New Roman" w:cs="Times New Roman"/>
          <w:szCs w:val="24"/>
        </w:rPr>
        <w:t xml:space="preserve">, D. </w:t>
      </w:r>
      <w:proofErr w:type="spellStart"/>
      <w:r w:rsidRPr="007F5499">
        <w:rPr>
          <w:rFonts w:ascii="Times New Roman" w:hAnsi="Times New Roman" w:cs="Times New Roman"/>
          <w:szCs w:val="24"/>
        </w:rPr>
        <w:t>Mistree</w:t>
      </w:r>
      <w:proofErr w:type="spellEnd"/>
      <w:r w:rsidRPr="007F5499">
        <w:rPr>
          <w:rFonts w:ascii="Times New Roman" w:hAnsi="Times New Roman" w:cs="Times New Roman"/>
          <w:szCs w:val="24"/>
        </w:rPr>
        <w:t>, D., Kay, K. (2020): Responding to COVID‐19 through Surveys of Public Servants. Public Administration Review 80, 792-796.</w:t>
      </w:r>
    </w:p>
    <w:p w14:paraId="64ADDACA" w14:textId="77777777" w:rsidR="006F4CFA"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lastRenderedPageBreak/>
        <w:t>Song, M., Meier, K.J. (2018): Citizen satisfaction and the kaleidoscope of government performance: how multiple stakeholders see government performance. Journal of Public Administration Research and Theory 28, 489–505.</w:t>
      </w:r>
    </w:p>
    <w:p w14:paraId="7CAF6CA4" w14:textId="77777777" w:rsidR="007C2A12" w:rsidRPr="007F5499" w:rsidRDefault="00066F6D" w:rsidP="00471361">
      <w:pPr>
        <w:spacing w:line="240" w:lineRule="auto"/>
        <w:jc w:val="both"/>
        <w:rPr>
          <w:rFonts w:ascii="Times New Roman" w:hAnsi="Times New Roman" w:cs="Times New Roman"/>
          <w:szCs w:val="24"/>
        </w:rPr>
      </w:pPr>
      <w:r w:rsidRPr="007F5499">
        <w:rPr>
          <w:rFonts w:ascii="Times New Roman" w:hAnsi="Times New Roman" w:cs="Times New Roman"/>
          <w:szCs w:val="24"/>
        </w:rPr>
        <w:t>Speklé, R.F, and Widener, S.K. (2018): Challenging issues in survey research: Discussion and suggestions. Journal of Management Accounting Research 30, 3–21.</w:t>
      </w:r>
    </w:p>
    <w:p w14:paraId="09A4CB9D" w14:textId="77777777" w:rsidR="008B464F" w:rsidRPr="007F5499" w:rsidRDefault="00066F6D" w:rsidP="00471361">
      <w:pPr>
        <w:spacing w:line="240" w:lineRule="auto"/>
        <w:jc w:val="both"/>
        <w:rPr>
          <w:rFonts w:ascii="Times New Roman" w:hAnsi="Times New Roman" w:cs="Times New Roman"/>
          <w:szCs w:val="24"/>
        </w:rPr>
      </w:pPr>
      <w:r w:rsidRPr="007F5499">
        <w:rPr>
          <w:rFonts w:ascii="Times New Roman" w:hAnsi="Times New Roman" w:cs="Times New Roman"/>
          <w:szCs w:val="24"/>
        </w:rPr>
        <w:t>Van der Stede, W.A., Young, S.M., and Chen, C.X. (2005): Assessing the Quality of Evidence in Empirical Management Accounting Research: The Case of Survey Studies. Accounting, organizations and society 30, 655-684.</w:t>
      </w:r>
    </w:p>
    <w:p w14:paraId="12240401" w14:textId="77777777" w:rsidR="000E4E19" w:rsidRPr="007F5499" w:rsidRDefault="00066F6D" w:rsidP="00DE62D0">
      <w:pPr>
        <w:spacing w:line="240" w:lineRule="auto"/>
        <w:jc w:val="both"/>
        <w:rPr>
          <w:rFonts w:ascii="Times New Roman" w:hAnsi="Times New Roman" w:cs="Times New Roman"/>
          <w:szCs w:val="24"/>
        </w:rPr>
      </w:pPr>
      <w:r w:rsidRPr="007F5499">
        <w:rPr>
          <w:rFonts w:ascii="Times New Roman" w:hAnsi="Times New Roman" w:cs="Times New Roman"/>
          <w:szCs w:val="24"/>
        </w:rPr>
        <w:t>Walker, R.M., Andrews, R. (2015): Local Government Management and Performance: A Review of Evidence. Journal of Public Administration Research and Theory 25, 101–133.</w:t>
      </w:r>
    </w:p>
    <w:p w14:paraId="0ABA5629" w14:textId="7453ACA8" w:rsidR="001C188A" w:rsidRPr="009D0FC6" w:rsidRDefault="00066F6D" w:rsidP="00A47DB6">
      <w:pPr>
        <w:spacing w:line="240" w:lineRule="auto"/>
        <w:jc w:val="both"/>
        <w:rPr>
          <w:rFonts w:ascii="Times New Roman" w:hAnsi="Times New Roman"/>
        </w:rPr>
      </w:pPr>
      <w:r w:rsidRPr="007F5499">
        <w:rPr>
          <w:rFonts w:ascii="Times New Roman" w:hAnsi="Times New Roman" w:cs="Times New Roman"/>
          <w:szCs w:val="24"/>
        </w:rPr>
        <w:t>Werts, C.E., Linn, R.L., Jöreskog, K.G. (1974): Intraclass Reliability Estimates: Testing Structural Assumptions. Educational and Psychological Measurement 34, 25–33.</w:t>
      </w:r>
    </w:p>
    <w:sectPr w:rsidR="001C188A" w:rsidRPr="009D0FC6">
      <w:footerReference w:type="default" r:id="rId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8687E" w16cex:dateUtc="2022-03-13T00: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084D5" w14:textId="77777777" w:rsidR="00D87161" w:rsidRDefault="00D87161">
      <w:pPr>
        <w:spacing w:after="0" w:line="240" w:lineRule="auto"/>
      </w:pPr>
      <w:r>
        <w:separator/>
      </w:r>
    </w:p>
  </w:endnote>
  <w:endnote w:type="continuationSeparator" w:id="0">
    <w:p w14:paraId="7D156196" w14:textId="77777777" w:rsidR="00D87161" w:rsidRDefault="00D87161">
      <w:pPr>
        <w:spacing w:after="0" w:line="240" w:lineRule="auto"/>
      </w:pPr>
      <w:r>
        <w:continuationSeparator/>
      </w:r>
    </w:p>
  </w:endnote>
  <w:endnote w:type="continuationNotice" w:id="1">
    <w:p w14:paraId="1A646434" w14:textId="77777777" w:rsidR="00D87161" w:rsidRDefault="00D87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896475"/>
      <w:docPartObj>
        <w:docPartGallery w:val="Page Numbers (Bottom of Page)"/>
        <w:docPartUnique/>
      </w:docPartObj>
    </w:sdtPr>
    <w:sdtEndPr>
      <w:rPr>
        <w:rFonts w:ascii="Times New Roman" w:hAnsi="Times New Roman" w:cs="Times New Roman"/>
        <w:sz w:val="24"/>
        <w:szCs w:val="20"/>
      </w:rPr>
    </w:sdtEndPr>
    <w:sdtContent>
      <w:p w14:paraId="250096B0" w14:textId="77777777" w:rsidR="00EB2E53" w:rsidRPr="00EE152E" w:rsidRDefault="00066F6D" w:rsidP="00492535">
        <w:pPr>
          <w:pStyle w:val="Fuzeile"/>
          <w:tabs>
            <w:tab w:val="left" w:pos="6105"/>
            <w:tab w:val="right" w:pos="9072"/>
          </w:tabs>
          <w:rPr>
            <w:rFonts w:ascii="Times New Roman" w:hAnsi="Times New Roman" w:cs="Times New Roman"/>
            <w:sz w:val="24"/>
            <w:szCs w:val="20"/>
          </w:rPr>
        </w:pPr>
        <w:r w:rsidRPr="00EE152E">
          <w:tab/>
        </w:r>
        <w:r w:rsidRPr="00EE152E">
          <w:tab/>
        </w:r>
        <w:r w:rsidRPr="00EE152E">
          <w:tab/>
        </w:r>
        <w:r w:rsidRPr="00EE152E">
          <w:rPr>
            <w:rFonts w:ascii="Times New Roman" w:hAnsi="Times New Roman" w:cs="Times New Roman"/>
            <w:sz w:val="24"/>
            <w:szCs w:val="20"/>
          </w:rPr>
          <w:fldChar w:fldCharType="begin"/>
        </w:r>
        <w:r w:rsidRPr="00EE152E">
          <w:rPr>
            <w:rFonts w:ascii="Times New Roman" w:hAnsi="Times New Roman" w:cs="Times New Roman"/>
            <w:sz w:val="24"/>
            <w:szCs w:val="20"/>
          </w:rPr>
          <w:instrText>PAGE   \* MERGEFORMAT</w:instrText>
        </w:r>
        <w:r w:rsidRPr="00EE152E">
          <w:rPr>
            <w:rFonts w:ascii="Times New Roman" w:hAnsi="Times New Roman" w:cs="Times New Roman"/>
            <w:sz w:val="24"/>
            <w:szCs w:val="20"/>
          </w:rPr>
          <w:fldChar w:fldCharType="separate"/>
        </w:r>
        <w:r w:rsidRPr="00EE152E">
          <w:rPr>
            <w:rFonts w:ascii="Times New Roman" w:hAnsi="Times New Roman" w:cs="Times New Roman"/>
            <w:noProof/>
            <w:sz w:val="24"/>
            <w:szCs w:val="20"/>
          </w:rPr>
          <w:t>18</w:t>
        </w:r>
        <w:r w:rsidRPr="00EE152E">
          <w:rPr>
            <w:rFonts w:ascii="Times New Roman" w:hAnsi="Times New Roman" w:cs="Times New Roman"/>
            <w:sz w:val="24"/>
            <w:szCs w:val="20"/>
          </w:rPr>
          <w:fldChar w:fldCharType="end"/>
        </w:r>
      </w:p>
    </w:sdtContent>
  </w:sdt>
  <w:p w14:paraId="22A19E3A" w14:textId="77777777" w:rsidR="00EB2E53" w:rsidRPr="00EE152E" w:rsidRDefault="00EB2E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D8DEF" w14:textId="77777777" w:rsidR="00D87161" w:rsidRPr="00EE152E" w:rsidRDefault="00D87161" w:rsidP="009F1D09">
      <w:pPr>
        <w:spacing w:after="0" w:line="240" w:lineRule="auto"/>
      </w:pPr>
      <w:r w:rsidRPr="00EE152E">
        <w:separator/>
      </w:r>
    </w:p>
  </w:footnote>
  <w:footnote w:type="continuationSeparator" w:id="0">
    <w:p w14:paraId="51E5156C" w14:textId="77777777" w:rsidR="00D87161" w:rsidRPr="00EE152E" w:rsidRDefault="00D87161" w:rsidP="009F1D09">
      <w:pPr>
        <w:spacing w:after="0" w:line="240" w:lineRule="auto"/>
      </w:pPr>
      <w:r w:rsidRPr="00EE152E">
        <w:continuationSeparator/>
      </w:r>
    </w:p>
  </w:footnote>
  <w:footnote w:type="continuationNotice" w:id="1">
    <w:p w14:paraId="5FCB847B" w14:textId="77777777" w:rsidR="00D87161" w:rsidRDefault="00D87161">
      <w:pPr>
        <w:spacing w:after="0" w:line="240" w:lineRule="auto"/>
      </w:pPr>
    </w:p>
  </w:footnote>
  <w:footnote w:id="2">
    <w:p w14:paraId="276D8856" w14:textId="18386A9E" w:rsidR="00EB2E53" w:rsidRPr="00EE152E" w:rsidRDefault="00066F6D">
      <w:pPr>
        <w:pStyle w:val="Funotentext"/>
        <w:rPr>
          <w:rFonts w:ascii="Times New Roman" w:hAnsi="Times New Roman" w:cs="Times New Roman"/>
        </w:rPr>
      </w:pPr>
      <w:r w:rsidRPr="00EE152E">
        <w:rPr>
          <w:rStyle w:val="Funotenzeichen"/>
          <w:rFonts w:ascii="Times New Roman" w:hAnsi="Times New Roman" w:cs="Times New Roman"/>
        </w:rPr>
        <w:footnoteRef/>
      </w:r>
      <w:r w:rsidRPr="00EE152E">
        <w:rPr>
          <w:rFonts w:ascii="Times New Roman" w:hAnsi="Times New Roman" w:cs="Times New Roman"/>
        </w:rPr>
        <w:t xml:space="preserve"> The abbreviations in square brackets, e.g., [DC_a] as the first indicator for digitalized communication, are used for naming the indicators of the constructs.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D5E23"/>
    <w:multiLevelType w:val="multilevel"/>
    <w:tmpl w:val="688C538A"/>
    <w:lvl w:ilvl="0">
      <w:start w:val="1"/>
      <w:numFmt w:val="decimal"/>
      <w:lvlText w:val="%1."/>
      <w:lvlJc w:val="left"/>
      <w:pPr>
        <w:ind w:left="360" w:hanging="360"/>
      </w:pPr>
      <w:rPr>
        <w:rFonts w:cs="Times New Roman" w:hint="default"/>
        <w:b w:val="0"/>
      </w:rPr>
    </w:lvl>
    <w:lvl w:ilvl="1">
      <w:start w:val="3"/>
      <w:numFmt w:val="decimal"/>
      <w:lvlText w:val="%1.%2"/>
      <w:lvlJc w:val="left"/>
      <w:pPr>
        <w:ind w:left="851" w:hanging="360"/>
      </w:pPr>
      <w:rPr>
        <w:rFonts w:cs="Times New Roman" w:hint="default"/>
      </w:rPr>
    </w:lvl>
    <w:lvl w:ilvl="2">
      <w:start w:val="1"/>
      <w:numFmt w:val="decimal"/>
      <w:lvlText w:val="%1.%2.%3"/>
      <w:lvlJc w:val="left"/>
      <w:pPr>
        <w:ind w:left="1702" w:hanging="720"/>
      </w:pPr>
      <w:rPr>
        <w:rFonts w:cs="Times New Roman" w:hint="default"/>
      </w:rPr>
    </w:lvl>
    <w:lvl w:ilvl="3">
      <w:start w:val="1"/>
      <w:numFmt w:val="decimal"/>
      <w:lvlText w:val="%1.%2.%3.%4"/>
      <w:lvlJc w:val="left"/>
      <w:pPr>
        <w:ind w:left="2193" w:hanging="720"/>
      </w:pPr>
      <w:rPr>
        <w:rFonts w:cs="Times New Roman" w:hint="default"/>
      </w:rPr>
    </w:lvl>
    <w:lvl w:ilvl="4">
      <w:start w:val="1"/>
      <w:numFmt w:val="decimal"/>
      <w:lvlText w:val="%1.%2.%3.%4.%5"/>
      <w:lvlJc w:val="left"/>
      <w:pPr>
        <w:ind w:left="3044" w:hanging="1080"/>
      </w:pPr>
      <w:rPr>
        <w:rFonts w:cs="Times New Roman" w:hint="default"/>
      </w:rPr>
    </w:lvl>
    <w:lvl w:ilvl="5">
      <w:start w:val="1"/>
      <w:numFmt w:val="decimal"/>
      <w:lvlText w:val="%1.%2.%3.%4.%5.%6"/>
      <w:lvlJc w:val="left"/>
      <w:pPr>
        <w:ind w:left="3535" w:hanging="1080"/>
      </w:pPr>
      <w:rPr>
        <w:rFonts w:cs="Times New Roman" w:hint="default"/>
      </w:rPr>
    </w:lvl>
    <w:lvl w:ilvl="6">
      <w:start w:val="1"/>
      <w:numFmt w:val="decimal"/>
      <w:lvlText w:val="%1.%2.%3.%4.%5.%6.%7"/>
      <w:lvlJc w:val="left"/>
      <w:pPr>
        <w:ind w:left="4386" w:hanging="1440"/>
      </w:pPr>
      <w:rPr>
        <w:rFonts w:cs="Times New Roman" w:hint="default"/>
      </w:rPr>
    </w:lvl>
    <w:lvl w:ilvl="7">
      <w:start w:val="1"/>
      <w:numFmt w:val="decimal"/>
      <w:lvlText w:val="%1.%2.%3.%4.%5.%6.%7.%8"/>
      <w:lvlJc w:val="left"/>
      <w:pPr>
        <w:ind w:left="4877" w:hanging="1440"/>
      </w:pPr>
      <w:rPr>
        <w:rFonts w:cs="Times New Roman" w:hint="default"/>
      </w:rPr>
    </w:lvl>
    <w:lvl w:ilvl="8">
      <w:start w:val="1"/>
      <w:numFmt w:val="decimal"/>
      <w:lvlText w:val="%1.%2.%3.%4.%5.%6.%7.%8.%9"/>
      <w:lvlJc w:val="left"/>
      <w:pPr>
        <w:ind w:left="5368" w:hanging="1440"/>
      </w:pPr>
      <w:rPr>
        <w:rFonts w:cs="Times New Roman" w:hint="default"/>
      </w:rPr>
    </w:lvl>
  </w:abstractNum>
  <w:abstractNum w:abstractNumId="1" w15:restartNumberingAfterBreak="0">
    <w:nsid w:val="39D27416"/>
    <w:multiLevelType w:val="hybridMultilevel"/>
    <w:tmpl w:val="7174F604"/>
    <w:lvl w:ilvl="0" w:tplc="ADAAD8FE">
      <w:start w:val="1"/>
      <w:numFmt w:val="decimal"/>
      <w:lvlText w:val="%1."/>
      <w:lvlJc w:val="left"/>
      <w:pPr>
        <w:ind w:left="720" w:hanging="360"/>
      </w:pPr>
    </w:lvl>
    <w:lvl w:ilvl="1" w:tplc="01E045E0" w:tentative="1">
      <w:start w:val="1"/>
      <w:numFmt w:val="lowerLetter"/>
      <w:lvlText w:val="%2."/>
      <w:lvlJc w:val="left"/>
      <w:pPr>
        <w:ind w:left="1440" w:hanging="360"/>
      </w:pPr>
    </w:lvl>
    <w:lvl w:ilvl="2" w:tplc="3950FF84" w:tentative="1">
      <w:start w:val="1"/>
      <w:numFmt w:val="lowerRoman"/>
      <w:lvlText w:val="%3."/>
      <w:lvlJc w:val="right"/>
      <w:pPr>
        <w:ind w:left="2160" w:hanging="180"/>
      </w:pPr>
    </w:lvl>
    <w:lvl w:ilvl="3" w:tplc="179E657C" w:tentative="1">
      <w:start w:val="1"/>
      <w:numFmt w:val="decimal"/>
      <w:lvlText w:val="%4."/>
      <w:lvlJc w:val="left"/>
      <w:pPr>
        <w:ind w:left="2880" w:hanging="360"/>
      </w:pPr>
    </w:lvl>
    <w:lvl w:ilvl="4" w:tplc="C672AAA8" w:tentative="1">
      <w:start w:val="1"/>
      <w:numFmt w:val="lowerLetter"/>
      <w:lvlText w:val="%5."/>
      <w:lvlJc w:val="left"/>
      <w:pPr>
        <w:ind w:left="3600" w:hanging="360"/>
      </w:pPr>
    </w:lvl>
    <w:lvl w:ilvl="5" w:tplc="5CEC25B4" w:tentative="1">
      <w:start w:val="1"/>
      <w:numFmt w:val="lowerRoman"/>
      <w:lvlText w:val="%6."/>
      <w:lvlJc w:val="right"/>
      <w:pPr>
        <w:ind w:left="4320" w:hanging="180"/>
      </w:pPr>
    </w:lvl>
    <w:lvl w:ilvl="6" w:tplc="F14CA4F6" w:tentative="1">
      <w:start w:val="1"/>
      <w:numFmt w:val="decimal"/>
      <w:lvlText w:val="%7."/>
      <w:lvlJc w:val="left"/>
      <w:pPr>
        <w:ind w:left="5040" w:hanging="360"/>
      </w:pPr>
    </w:lvl>
    <w:lvl w:ilvl="7" w:tplc="01DA8AAC" w:tentative="1">
      <w:start w:val="1"/>
      <w:numFmt w:val="lowerLetter"/>
      <w:lvlText w:val="%8."/>
      <w:lvlJc w:val="left"/>
      <w:pPr>
        <w:ind w:left="5760" w:hanging="360"/>
      </w:pPr>
    </w:lvl>
    <w:lvl w:ilvl="8" w:tplc="602CCF3E" w:tentative="1">
      <w:start w:val="1"/>
      <w:numFmt w:val="lowerRoman"/>
      <w:lvlText w:val="%9."/>
      <w:lvlJc w:val="right"/>
      <w:pPr>
        <w:ind w:left="6480" w:hanging="180"/>
      </w:pPr>
    </w:lvl>
  </w:abstractNum>
  <w:abstractNum w:abstractNumId="2" w15:restartNumberingAfterBreak="0">
    <w:nsid w:val="5DB35FB6"/>
    <w:multiLevelType w:val="hybridMultilevel"/>
    <w:tmpl w:val="1BD41118"/>
    <w:lvl w:ilvl="0" w:tplc="73A60C5E">
      <w:start w:val="2"/>
      <w:numFmt w:val="decimal"/>
      <w:lvlText w:val="%1."/>
      <w:lvlJc w:val="left"/>
      <w:pPr>
        <w:ind w:left="360" w:hanging="360"/>
      </w:pPr>
      <w:rPr>
        <w:rFonts w:hint="default"/>
      </w:rPr>
    </w:lvl>
    <w:lvl w:ilvl="1" w:tplc="B30A32AA" w:tentative="1">
      <w:start w:val="1"/>
      <w:numFmt w:val="lowerLetter"/>
      <w:lvlText w:val="%2."/>
      <w:lvlJc w:val="left"/>
      <w:pPr>
        <w:ind w:left="1080" w:hanging="360"/>
      </w:pPr>
    </w:lvl>
    <w:lvl w:ilvl="2" w:tplc="08B0A716" w:tentative="1">
      <w:start w:val="1"/>
      <w:numFmt w:val="lowerRoman"/>
      <w:lvlText w:val="%3."/>
      <w:lvlJc w:val="right"/>
      <w:pPr>
        <w:ind w:left="1800" w:hanging="180"/>
      </w:pPr>
    </w:lvl>
    <w:lvl w:ilvl="3" w:tplc="7F72BBAE" w:tentative="1">
      <w:start w:val="1"/>
      <w:numFmt w:val="decimal"/>
      <w:lvlText w:val="%4."/>
      <w:lvlJc w:val="left"/>
      <w:pPr>
        <w:ind w:left="2520" w:hanging="360"/>
      </w:pPr>
    </w:lvl>
    <w:lvl w:ilvl="4" w:tplc="7E26E84A" w:tentative="1">
      <w:start w:val="1"/>
      <w:numFmt w:val="lowerLetter"/>
      <w:lvlText w:val="%5."/>
      <w:lvlJc w:val="left"/>
      <w:pPr>
        <w:ind w:left="3240" w:hanging="360"/>
      </w:pPr>
    </w:lvl>
    <w:lvl w:ilvl="5" w:tplc="EB76B1A0" w:tentative="1">
      <w:start w:val="1"/>
      <w:numFmt w:val="lowerRoman"/>
      <w:lvlText w:val="%6."/>
      <w:lvlJc w:val="right"/>
      <w:pPr>
        <w:ind w:left="3960" w:hanging="180"/>
      </w:pPr>
    </w:lvl>
    <w:lvl w:ilvl="6" w:tplc="E51CE29A" w:tentative="1">
      <w:start w:val="1"/>
      <w:numFmt w:val="decimal"/>
      <w:lvlText w:val="%7."/>
      <w:lvlJc w:val="left"/>
      <w:pPr>
        <w:ind w:left="4680" w:hanging="360"/>
      </w:pPr>
    </w:lvl>
    <w:lvl w:ilvl="7" w:tplc="E2E4E992" w:tentative="1">
      <w:start w:val="1"/>
      <w:numFmt w:val="lowerLetter"/>
      <w:lvlText w:val="%8."/>
      <w:lvlJc w:val="left"/>
      <w:pPr>
        <w:ind w:left="5400" w:hanging="360"/>
      </w:pPr>
    </w:lvl>
    <w:lvl w:ilvl="8" w:tplc="4B288E80" w:tentative="1">
      <w:start w:val="1"/>
      <w:numFmt w:val="lowerRoman"/>
      <w:lvlText w:val="%9."/>
      <w:lvlJc w:val="right"/>
      <w:pPr>
        <w:ind w:left="6120" w:hanging="180"/>
      </w:pPr>
    </w:lvl>
  </w:abstractNum>
  <w:abstractNum w:abstractNumId="3" w15:restartNumberingAfterBreak="0">
    <w:nsid w:val="5E7C7D75"/>
    <w:multiLevelType w:val="multilevel"/>
    <w:tmpl w:val="BC882B14"/>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F34C43"/>
    <w:multiLevelType w:val="hybridMultilevel"/>
    <w:tmpl w:val="B540D570"/>
    <w:lvl w:ilvl="0" w:tplc="3DD09E32">
      <w:start w:val="1"/>
      <w:numFmt w:val="bullet"/>
      <w:lvlText w:val="-"/>
      <w:lvlJc w:val="left"/>
      <w:pPr>
        <w:ind w:left="720" w:hanging="360"/>
      </w:pPr>
      <w:rPr>
        <w:rFonts w:ascii="Simplified Arabic Fixed" w:hAnsi="Simplified Arabic Fixed" w:hint="default"/>
      </w:rPr>
    </w:lvl>
    <w:lvl w:ilvl="1" w:tplc="849CD620" w:tentative="1">
      <w:start w:val="1"/>
      <w:numFmt w:val="bullet"/>
      <w:lvlText w:val="o"/>
      <w:lvlJc w:val="left"/>
      <w:pPr>
        <w:ind w:left="1440" w:hanging="360"/>
      </w:pPr>
      <w:rPr>
        <w:rFonts w:ascii="Courier New" w:hAnsi="Courier New" w:hint="default"/>
      </w:rPr>
    </w:lvl>
    <w:lvl w:ilvl="2" w:tplc="0FDCA792" w:tentative="1">
      <w:start w:val="1"/>
      <w:numFmt w:val="bullet"/>
      <w:lvlText w:val=""/>
      <w:lvlJc w:val="left"/>
      <w:pPr>
        <w:ind w:left="2160" w:hanging="360"/>
      </w:pPr>
      <w:rPr>
        <w:rFonts w:ascii="Wingdings" w:hAnsi="Wingdings" w:hint="default"/>
      </w:rPr>
    </w:lvl>
    <w:lvl w:ilvl="3" w:tplc="133E86A4" w:tentative="1">
      <w:start w:val="1"/>
      <w:numFmt w:val="bullet"/>
      <w:lvlText w:val=""/>
      <w:lvlJc w:val="left"/>
      <w:pPr>
        <w:ind w:left="2880" w:hanging="360"/>
      </w:pPr>
      <w:rPr>
        <w:rFonts w:ascii="Symbol" w:hAnsi="Symbol" w:hint="default"/>
      </w:rPr>
    </w:lvl>
    <w:lvl w:ilvl="4" w:tplc="C310E358" w:tentative="1">
      <w:start w:val="1"/>
      <w:numFmt w:val="bullet"/>
      <w:lvlText w:val="o"/>
      <w:lvlJc w:val="left"/>
      <w:pPr>
        <w:ind w:left="3600" w:hanging="360"/>
      </w:pPr>
      <w:rPr>
        <w:rFonts w:ascii="Courier New" w:hAnsi="Courier New" w:hint="default"/>
      </w:rPr>
    </w:lvl>
    <w:lvl w:ilvl="5" w:tplc="4316274A" w:tentative="1">
      <w:start w:val="1"/>
      <w:numFmt w:val="bullet"/>
      <w:lvlText w:val=""/>
      <w:lvlJc w:val="left"/>
      <w:pPr>
        <w:ind w:left="4320" w:hanging="360"/>
      </w:pPr>
      <w:rPr>
        <w:rFonts w:ascii="Wingdings" w:hAnsi="Wingdings" w:hint="default"/>
      </w:rPr>
    </w:lvl>
    <w:lvl w:ilvl="6" w:tplc="BF84D564" w:tentative="1">
      <w:start w:val="1"/>
      <w:numFmt w:val="bullet"/>
      <w:lvlText w:val=""/>
      <w:lvlJc w:val="left"/>
      <w:pPr>
        <w:ind w:left="5040" w:hanging="360"/>
      </w:pPr>
      <w:rPr>
        <w:rFonts w:ascii="Symbol" w:hAnsi="Symbol" w:hint="default"/>
      </w:rPr>
    </w:lvl>
    <w:lvl w:ilvl="7" w:tplc="FF6A12DE" w:tentative="1">
      <w:start w:val="1"/>
      <w:numFmt w:val="bullet"/>
      <w:lvlText w:val="o"/>
      <w:lvlJc w:val="left"/>
      <w:pPr>
        <w:ind w:left="5760" w:hanging="360"/>
      </w:pPr>
      <w:rPr>
        <w:rFonts w:ascii="Courier New" w:hAnsi="Courier New" w:hint="default"/>
      </w:rPr>
    </w:lvl>
    <w:lvl w:ilvl="8" w:tplc="1D1E84D4" w:tentative="1">
      <w:start w:val="1"/>
      <w:numFmt w:val="bullet"/>
      <w:lvlText w:val=""/>
      <w:lvlJc w:val="left"/>
      <w:pPr>
        <w:ind w:left="6480" w:hanging="360"/>
      </w:pPr>
      <w:rPr>
        <w:rFonts w:ascii="Wingdings" w:hAnsi="Wingdings" w:hint="default"/>
      </w:rPr>
    </w:lvl>
  </w:abstractNum>
  <w:abstractNum w:abstractNumId="5" w15:restartNumberingAfterBreak="0">
    <w:nsid w:val="70663D04"/>
    <w:multiLevelType w:val="hybridMultilevel"/>
    <w:tmpl w:val="0A047A28"/>
    <w:lvl w:ilvl="0" w:tplc="E8BC3BB0">
      <w:start w:val="1"/>
      <w:numFmt w:val="bullet"/>
      <w:lvlText w:val="-"/>
      <w:lvlJc w:val="left"/>
      <w:pPr>
        <w:tabs>
          <w:tab w:val="num" w:pos="720"/>
        </w:tabs>
        <w:ind w:left="720" w:hanging="360"/>
      </w:pPr>
      <w:rPr>
        <w:rFonts w:ascii="Times New Roman" w:hAnsi="Times New Roman" w:hint="default"/>
      </w:rPr>
    </w:lvl>
    <w:lvl w:ilvl="1" w:tplc="506CABA0" w:tentative="1">
      <w:start w:val="1"/>
      <w:numFmt w:val="bullet"/>
      <w:lvlText w:val="-"/>
      <w:lvlJc w:val="left"/>
      <w:pPr>
        <w:tabs>
          <w:tab w:val="num" w:pos="1440"/>
        </w:tabs>
        <w:ind w:left="1440" w:hanging="360"/>
      </w:pPr>
      <w:rPr>
        <w:rFonts w:ascii="Times New Roman" w:hAnsi="Times New Roman" w:hint="default"/>
      </w:rPr>
    </w:lvl>
    <w:lvl w:ilvl="2" w:tplc="B0181488" w:tentative="1">
      <w:start w:val="1"/>
      <w:numFmt w:val="bullet"/>
      <w:lvlText w:val="-"/>
      <w:lvlJc w:val="left"/>
      <w:pPr>
        <w:tabs>
          <w:tab w:val="num" w:pos="2160"/>
        </w:tabs>
        <w:ind w:left="2160" w:hanging="360"/>
      </w:pPr>
      <w:rPr>
        <w:rFonts w:ascii="Times New Roman" w:hAnsi="Times New Roman" w:hint="default"/>
      </w:rPr>
    </w:lvl>
    <w:lvl w:ilvl="3" w:tplc="1A522612" w:tentative="1">
      <w:start w:val="1"/>
      <w:numFmt w:val="bullet"/>
      <w:lvlText w:val="-"/>
      <w:lvlJc w:val="left"/>
      <w:pPr>
        <w:tabs>
          <w:tab w:val="num" w:pos="2880"/>
        </w:tabs>
        <w:ind w:left="2880" w:hanging="360"/>
      </w:pPr>
      <w:rPr>
        <w:rFonts w:ascii="Times New Roman" w:hAnsi="Times New Roman" w:hint="default"/>
      </w:rPr>
    </w:lvl>
    <w:lvl w:ilvl="4" w:tplc="FE7EB9D6" w:tentative="1">
      <w:start w:val="1"/>
      <w:numFmt w:val="bullet"/>
      <w:lvlText w:val="-"/>
      <w:lvlJc w:val="left"/>
      <w:pPr>
        <w:tabs>
          <w:tab w:val="num" w:pos="3600"/>
        </w:tabs>
        <w:ind w:left="3600" w:hanging="360"/>
      </w:pPr>
      <w:rPr>
        <w:rFonts w:ascii="Times New Roman" w:hAnsi="Times New Roman" w:hint="default"/>
      </w:rPr>
    </w:lvl>
    <w:lvl w:ilvl="5" w:tplc="BB60F2A0" w:tentative="1">
      <w:start w:val="1"/>
      <w:numFmt w:val="bullet"/>
      <w:lvlText w:val="-"/>
      <w:lvlJc w:val="left"/>
      <w:pPr>
        <w:tabs>
          <w:tab w:val="num" w:pos="4320"/>
        </w:tabs>
        <w:ind w:left="4320" w:hanging="360"/>
      </w:pPr>
      <w:rPr>
        <w:rFonts w:ascii="Times New Roman" w:hAnsi="Times New Roman" w:hint="default"/>
      </w:rPr>
    </w:lvl>
    <w:lvl w:ilvl="6" w:tplc="81925BC8" w:tentative="1">
      <w:start w:val="1"/>
      <w:numFmt w:val="bullet"/>
      <w:lvlText w:val="-"/>
      <w:lvlJc w:val="left"/>
      <w:pPr>
        <w:tabs>
          <w:tab w:val="num" w:pos="5040"/>
        </w:tabs>
        <w:ind w:left="5040" w:hanging="360"/>
      </w:pPr>
      <w:rPr>
        <w:rFonts w:ascii="Times New Roman" w:hAnsi="Times New Roman" w:hint="default"/>
      </w:rPr>
    </w:lvl>
    <w:lvl w:ilvl="7" w:tplc="69264CCC" w:tentative="1">
      <w:start w:val="1"/>
      <w:numFmt w:val="bullet"/>
      <w:lvlText w:val="-"/>
      <w:lvlJc w:val="left"/>
      <w:pPr>
        <w:tabs>
          <w:tab w:val="num" w:pos="5760"/>
        </w:tabs>
        <w:ind w:left="5760" w:hanging="360"/>
      </w:pPr>
      <w:rPr>
        <w:rFonts w:ascii="Times New Roman" w:hAnsi="Times New Roman" w:hint="default"/>
      </w:rPr>
    </w:lvl>
    <w:lvl w:ilvl="8" w:tplc="A726D9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8843CB8"/>
    <w:multiLevelType w:val="multilevel"/>
    <w:tmpl w:val="2E54C5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jSzsDAwNzEwt7BU0lEKTi0uzszPAykwNKgFABDewnctAAAA"/>
  </w:docVars>
  <w:rsids>
    <w:rsidRoot w:val="005D1D26"/>
    <w:rsid w:val="00002B95"/>
    <w:rsid w:val="000032AB"/>
    <w:rsid w:val="0000432A"/>
    <w:rsid w:val="000051EA"/>
    <w:rsid w:val="00005F1F"/>
    <w:rsid w:val="0000697A"/>
    <w:rsid w:val="0001145E"/>
    <w:rsid w:val="00012F26"/>
    <w:rsid w:val="00015E3E"/>
    <w:rsid w:val="0002175B"/>
    <w:rsid w:val="00027AEB"/>
    <w:rsid w:val="0003042D"/>
    <w:rsid w:val="000342A0"/>
    <w:rsid w:val="00034DF3"/>
    <w:rsid w:val="00035E3C"/>
    <w:rsid w:val="00035E8B"/>
    <w:rsid w:val="00036A21"/>
    <w:rsid w:val="00036D2F"/>
    <w:rsid w:val="00037B66"/>
    <w:rsid w:val="00040F4F"/>
    <w:rsid w:val="00042521"/>
    <w:rsid w:val="00043A87"/>
    <w:rsid w:val="00044D6D"/>
    <w:rsid w:val="00044EA7"/>
    <w:rsid w:val="000467C4"/>
    <w:rsid w:val="00050F74"/>
    <w:rsid w:val="000511B3"/>
    <w:rsid w:val="00051787"/>
    <w:rsid w:val="00053041"/>
    <w:rsid w:val="0005320E"/>
    <w:rsid w:val="00054460"/>
    <w:rsid w:val="000575E8"/>
    <w:rsid w:val="00066F6D"/>
    <w:rsid w:val="000673C9"/>
    <w:rsid w:val="00067D69"/>
    <w:rsid w:val="00075103"/>
    <w:rsid w:val="00080D0F"/>
    <w:rsid w:val="0008205F"/>
    <w:rsid w:val="0008222B"/>
    <w:rsid w:val="00082A81"/>
    <w:rsid w:val="00083736"/>
    <w:rsid w:val="0008708C"/>
    <w:rsid w:val="00087C24"/>
    <w:rsid w:val="000900A2"/>
    <w:rsid w:val="00090779"/>
    <w:rsid w:val="00090D14"/>
    <w:rsid w:val="000910EC"/>
    <w:rsid w:val="00091736"/>
    <w:rsid w:val="000960F2"/>
    <w:rsid w:val="000A6C0A"/>
    <w:rsid w:val="000B06B1"/>
    <w:rsid w:val="000B222E"/>
    <w:rsid w:val="000B4385"/>
    <w:rsid w:val="000B591D"/>
    <w:rsid w:val="000B706F"/>
    <w:rsid w:val="000C36AB"/>
    <w:rsid w:val="000C4A79"/>
    <w:rsid w:val="000C52A2"/>
    <w:rsid w:val="000C7E36"/>
    <w:rsid w:val="000D42AD"/>
    <w:rsid w:val="000E4E19"/>
    <w:rsid w:val="000E6E0D"/>
    <w:rsid w:val="000F17D5"/>
    <w:rsid w:val="000F2C84"/>
    <w:rsid w:val="000F78A7"/>
    <w:rsid w:val="00100CC4"/>
    <w:rsid w:val="0010161F"/>
    <w:rsid w:val="00106BD5"/>
    <w:rsid w:val="00111A36"/>
    <w:rsid w:val="00113B59"/>
    <w:rsid w:val="00113FC2"/>
    <w:rsid w:val="001162CC"/>
    <w:rsid w:val="00116DE6"/>
    <w:rsid w:val="00120055"/>
    <w:rsid w:val="0012081A"/>
    <w:rsid w:val="0012154C"/>
    <w:rsid w:val="00124726"/>
    <w:rsid w:val="0012655E"/>
    <w:rsid w:val="00126F2F"/>
    <w:rsid w:val="00127F29"/>
    <w:rsid w:val="0013119D"/>
    <w:rsid w:val="001344BF"/>
    <w:rsid w:val="00134AEA"/>
    <w:rsid w:val="00136B9C"/>
    <w:rsid w:val="001403C0"/>
    <w:rsid w:val="00141D44"/>
    <w:rsid w:val="001420C8"/>
    <w:rsid w:val="00142523"/>
    <w:rsid w:val="00144B72"/>
    <w:rsid w:val="00145745"/>
    <w:rsid w:val="00147437"/>
    <w:rsid w:val="00151502"/>
    <w:rsid w:val="00151978"/>
    <w:rsid w:val="00156E5D"/>
    <w:rsid w:val="0015789A"/>
    <w:rsid w:val="001603EA"/>
    <w:rsid w:val="0016055E"/>
    <w:rsid w:val="0016234B"/>
    <w:rsid w:val="001676AE"/>
    <w:rsid w:val="00170CE8"/>
    <w:rsid w:val="001731BE"/>
    <w:rsid w:val="00177C37"/>
    <w:rsid w:val="001805D2"/>
    <w:rsid w:val="0018334C"/>
    <w:rsid w:val="00184E3F"/>
    <w:rsid w:val="001860B8"/>
    <w:rsid w:val="0018632F"/>
    <w:rsid w:val="001911AD"/>
    <w:rsid w:val="00193F23"/>
    <w:rsid w:val="00195953"/>
    <w:rsid w:val="001A0BF5"/>
    <w:rsid w:val="001A47F9"/>
    <w:rsid w:val="001A5F74"/>
    <w:rsid w:val="001B0DF1"/>
    <w:rsid w:val="001B4DC9"/>
    <w:rsid w:val="001B56BB"/>
    <w:rsid w:val="001B6C2D"/>
    <w:rsid w:val="001B7A90"/>
    <w:rsid w:val="001C188A"/>
    <w:rsid w:val="001C2043"/>
    <w:rsid w:val="001C3801"/>
    <w:rsid w:val="001C3A8C"/>
    <w:rsid w:val="001C5035"/>
    <w:rsid w:val="001C7164"/>
    <w:rsid w:val="001D0152"/>
    <w:rsid w:val="001D1299"/>
    <w:rsid w:val="001D4298"/>
    <w:rsid w:val="001D5E38"/>
    <w:rsid w:val="001D6262"/>
    <w:rsid w:val="001D7A43"/>
    <w:rsid w:val="001D7E8F"/>
    <w:rsid w:val="001E3947"/>
    <w:rsid w:val="001E70D4"/>
    <w:rsid w:val="001E7A39"/>
    <w:rsid w:val="001F329C"/>
    <w:rsid w:val="001F736A"/>
    <w:rsid w:val="001F7F9C"/>
    <w:rsid w:val="00200E60"/>
    <w:rsid w:val="0020516A"/>
    <w:rsid w:val="00214037"/>
    <w:rsid w:val="00216959"/>
    <w:rsid w:val="00221E6A"/>
    <w:rsid w:val="00227B6C"/>
    <w:rsid w:val="002343B3"/>
    <w:rsid w:val="00237699"/>
    <w:rsid w:val="00241AB2"/>
    <w:rsid w:val="0024426F"/>
    <w:rsid w:val="00244A30"/>
    <w:rsid w:val="00251F4A"/>
    <w:rsid w:val="002606D2"/>
    <w:rsid w:val="00261425"/>
    <w:rsid w:val="00261CFF"/>
    <w:rsid w:val="00263708"/>
    <w:rsid w:val="00270264"/>
    <w:rsid w:val="002746E7"/>
    <w:rsid w:val="00276127"/>
    <w:rsid w:val="00283182"/>
    <w:rsid w:val="00287128"/>
    <w:rsid w:val="002909FD"/>
    <w:rsid w:val="00293A96"/>
    <w:rsid w:val="002A07E1"/>
    <w:rsid w:val="002A7005"/>
    <w:rsid w:val="002B1DC2"/>
    <w:rsid w:val="002B1FAC"/>
    <w:rsid w:val="002B2251"/>
    <w:rsid w:val="002B3512"/>
    <w:rsid w:val="002B5376"/>
    <w:rsid w:val="002B5A10"/>
    <w:rsid w:val="002B5F38"/>
    <w:rsid w:val="002B667C"/>
    <w:rsid w:val="002B6C98"/>
    <w:rsid w:val="002C0988"/>
    <w:rsid w:val="002C5588"/>
    <w:rsid w:val="002C773C"/>
    <w:rsid w:val="002D1B94"/>
    <w:rsid w:val="002D6C2E"/>
    <w:rsid w:val="002D6C77"/>
    <w:rsid w:val="002D7716"/>
    <w:rsid w:val="002E099C"/>
    <w:rsid w:val="002E100D"/>
    <w:rsid w:val="002E5A4D"/>
    <w:rsid w:val="002E5C66"/>
    <w:rsid w:val="002E756D"/>
    <w:rsid w:val="002E7602"/>
    <w:rsid w:val="002F2538"/>
    <w:rsid w:val="002F653D"/>
    <w:rsid w:val="002F7982"/>
    <w:rsid w:val="003041F6"/>
    <w:rsid w:val="003047A5"/>
    <w:rsid w:val="00304C47"/>
    <w:rsid w:val="003056E9"/>
    <w:rsid w:val="00311246"/>
    <w:rsid w:val="00312EB7"/>
    <w:rsid w:val="003133B4"/>
    <w:rsid w:val="00314081"/>
    <w:rsid w:val="00325E88"/>
    <w:rsid w:val="0032636E"/>
    <w:rsid w:val="00327672"/>
    <w:rsid w:val="0033204D"/>
    <w:rsid w:val="00343013"/>
    <w:rsid w:val="0034330E"/>
    <w:rsid w:val="003433B6"/>
    <w:rsid w:val="00344B4C"/>
    <w:rsid w:val="00344C2A"/>
    <w:rsid w:val="0035155A"/>
    <w:rsid w:val="00353249"/>
    <w:rsid w:val="00353CDD"/>
    <w:rsid w:val="00355C1E"/>
    <w:rsid w:val="00364376"/>
    <w:rsid w:val="003728C4"/>
    <w:rsid w:val="0037367E"/>
    <w:rsid w:val="00376881"/>
    <w:rsid w:val="0037784B"/>
    <w:rsid w:val="00380227"/>
    <w:rsid w:val="00381AFB"/>
    <w:rsid w:val="0038316C"/>
    <w:rsid w:val="0038580B"/>
    <w:rsid w:val="00385824"/>
    <w:rsid w:val="00387602"/>
    <w:rsid w:val="00393574"/>
    <w:rsid w:val="00394EBB"/>
    <w:rsid w:val="00397578"/>
    <w:rsid w:val="003B09DC"/>
    <w:rsid w:val="003B4AFB"/>
    <w:rsid w:val="003B4DD9"/>
    <w:rsid w:val="003B5AC8"/>
    <w:rsid w:val="003B5E05"/>
    <w:rsid w:val="003B6D7E"/>
    <w:rsid w:val="003B7D84"/>
    <w:rsid w:val="003C5CFD"/>
    <w:rsid w:val="003C7BE1"/>
    <w:rsid w:val="003D4161"/>
    <w:rsid w:val="003D4498"/>
    <w:rsid w:val="003D4A12"/>
    <w:rsid w:val="003D4E57"/>
    <w:rsid w:val="003E07AC"/>
    <w:rsid w:val="003E2D44"/>
    <w:rsid w:val="003E4CF1"/>
    <w:rsid w:val="003E6AB6"/>
    <w:rsid w:val="003E6CE0"/>
    <w:rsid w:val="003E72D1"/>
    <w:rsid w:val="003F5590"/>
    <w:rsid w:val="003F5F99"/>
    <w:rsid w:val="003F60F6"/>
    <w:rsid w:val="00402742"/>
    <w:rsid w:val="004102ED"/>
    <w:rsid w:val="00410436"/>
    <w:rsid w:val="00414B70"/>
    <w:rsid w:val="004158F5"/>
    <w:rsid w:val="00423CEE"/>
    <w:rsid w:val="00424ECF"/>
    <w:rsid w:val="00425095"/>
    <w:rsid w:val="00425840"/>
    <w:rsid w:val="0042623A"/>
    <w:rsid w:val="00430762"/>
    <w:rsid w:val="00432D25"/>
    <w:rsid w:val="00433BF5"/>
    <w:rsid w:val="00434B70"/>
    <w:rsid w:val="004358A5"/>
    <w:rsid w:val="00437EEC"/>
    <w:rsid w:val="00441310"/>
    <w:rsid w:val="0044590A"/>
    <w:rsid w:val="00446482"/>
    <w:rsid w:val="00446F56"/>
    <w:rsid w:val="00453281"/>
    <w:rsid w:val="00456372"/>
    <w:rsid w:val="00456DA1"/>
    <w:rsid w:val="00462633"/>
    <w:rsid w:val="00463A16"/>
    <w:rsid w:val="00463FED"/>
    <w:rsid w:val="00467E32"/>
    <w:rsid w:val="00471361"/>
    <w:rsid w:val="00474340"/>
    <w:rsid w:val="00474D6E"/>
    <w:rsid w:val="00475439"/>
    <w:rsid w:val="00475A82"/>
    <w:rsid w:val="00475D66"/>
    <w:rsid w:val="00480570"/>
    <w:rsid w:val="0048284F"/>
    <w:rsid w:val="004854D3"/>
    <w:rsid w:val="004858C1"/>
    <w:rsid w:val="0048719B"/>
    <w:rsid w:val="00492535"/>
    <w:rsid w:val="004942DA"/>
    <w:rsid w:val="004A22EC"/>
    <w:rsid w:val="004A6D27"/>
    <w:rsid w:val="004B0867"/>
    <w:rsid w:val="004B3A5F"/>
    <w:rsid w:val="004B3DB4"/>
    <w:rsid w:val="004B4D80"/>
    <w:rsid w:val="004C0354"/>
    <w:rsid w:val="004C0831"/>
    <w:rsid w:val="004C2C4E"/>
    <w:rsid w:val="004D0AF5"/>
    <w:rsid w:val="004E0FEC"/>
    <w:rsid w:val="004E1273"/>
    <w:rsid w:val="004E1884"/>
    <w:rsid w:val="004E2567"/>
    <w:rsid w:val="004E403D"/>
    <w:rsid w:val="004E4175"/>
    <w:rsid w:val="004F01A6"/>
    <w:rsid w:val="004F01D3"/>
    <w:rsid w:val="004F309E"/>
    <w:rsid w:val="004F35C6"/>
    <w:rsid w:val="004F41F4"/>
    <w:rsid w:val="004F7E64"/>
    <w:rsid w:val="00500094"/>
    <w:rsid w:val="00505609"/>
    <w:rsid w:val="00506B07"/>
    <w:rsid w:val="00512E2A"/>
    <w:rsid w:val="00513F30"/>
    <w:rsid w:val="00514FA3"/>
    <w:rsid w:val="005201CE"/>
    <w:rsid w:val="005208D4"/>
    <w:rsid w:val="00521847"/>
    <w:rsid w:val="00521CD5"/>
    <w:rsid w:val="00527428"/>
    <w:rsid w:val="00531029"/>
    <w:rsid w:val="00531FA5"/>
    <w:rsid w:val="00536B88"/>
    <w:rsid w:val="00537765"/>
    <w:rsid w:val="00537B52"/>
    <w:rsid w:val="00541CE9"/>
    <w:rsid w:val="005452C2"/>
    <w:rsid w:val="005455A9"/>
    <w:rsid w:val="005478D6"/>
    <w:rsid w:val="00547B71"/>
    <w:rsid w:val="005511EE"/>
    <w:rsid w:val="005543C8"/>
    <w:rsid w:val="00556014"/>
    <w:rsid w:val="005606F5"/>
    <w:rsid w:val="00561D74"/>
    <w:rsid w:val="00563AF0"/>
    <w:rsid w:val="00565ACE"/>
    <w:rsid w:val="00566339"/>
    <w:rsid w:val="00567CAA"/>
    <w:rsid w:val="00570E50"/>
    <w:rsid w:val="00572956"/>
    <w:rsid w:val="005759F5"/>
    <w:rsid w:val="00576200"/>
    <w:rsid w:val="005778C6"/>
    <w:rsid w:val="00580C41"/>
    <w:rsid w:val="005812DF"/>
    <w:rsid w:val="00581B74"/>
    <w:rsid w:val="005850F7"/>
    <w:rsid w:val="00586872"/>
    <w:rsid w:val="00593E53"/>
    <w:rsid w:val="00595A62"/>
    <w:rsid w:val="005A03E8"/>
    <w:rsid w:val="005A4584"/>
    <w:rsid w:val="005A46CF"/>
    <w:rsid w:val="005A57B5"/>
    <w:rsid w:val="005A58BD"/>
    <w:rsid w:val="005A69BB"/>
    <w:rsid w:val="005A7A2A"/>
    <w:rsid w:val="005B0650"/>
    <w:rsid w:val="005B0CCB"/>
    <w:rsid w:val="005C0A29"/>
    <w:rsid w:val="005C0EC3"/>
    <w:rsid w:val="005C232C"/>
    <w:rsid w:val="005C359E"/>
    <w:rsid w:val="005C3933"/>
    <w:rsid w:val="005D1D26"/>
    <w:rsid w:val="005D37BF"/>
    <w:rsid w:val="005D477F"/>
    <w:rsid w:val="005D5299"/>
    <w:rsid w:val="005D690D"/>
    <w:rsid w:val="005D75B4"/>
    <w:rsid w:val="005E13E5"/>
    <w:rsid w:val="005E18BC"/>
    <w:rsid w:val="005E4997"/>
    <w:rsid w:val="005E4BE9"/>
    <w:rsid w:val="005E5060"/>
    <w:rsid w:val="005E6413"/>
    <w:rsid w:val="005F01F8"/>
    <w:rsid w:val="005F047D"/>
    <w:rsid w:val="005F52C7"/>
    <w:rsid w:val="005F7525"/>
    <w:rsid w:val="005F75C3"/>
    <w:rsid w:val="006030B7"/>
    <w:rsid w:val="00605153"/>
    <w:rsid w:val="0060624D"/>
    <w:rsid w:val="00607701"/>
    <w:rsid w:val="0061456B"/>
    <w:rsid w:val="00614E9A"/>
    <w:rsid w:val="00615B88"/>
    <w:rsid w:val="006236FC"/>
    <w:rsid w:val="006250E6"/>
    <w:rsid w:val="0063301A"/>
    <w:rsid w:val="00633D7A"/>
    <w:rsid w:val="00636DD8"/>
    <w:rsid w:val="00637166"/>
    <w:rsid w:val="00641FDD"/>
    <w:rsid w:val="00643CBD"/>
    <w:rsid w:val="00651E83"/>
    <w:rsid w:val="0065222F"/>
    <w:rsid w:val="00652358"/>
    <w:rsid w:val="006528C7"/>
    <w:rsid w:val="006542CA"/>
    <w:rsid w:val="006569DF"/>
    <w:rsid w:val="00657437"/>
    <w:rsid w:val="00660428"/>
    <w:rsid w:val="006645D0"/>
    <w:rsid w:val="00664DF0"/>
    <w:rsid w:val="0066534A"/>
    <w:rsid w:val="006656B2"/>
    <w:rsid w:val="00666E2F"/>
    <w:rsid w:val="00666F4D"/>
    <w:rsid w:val="00667632"/>
    <w:rsid w:val="006677C7"/>
    <w:rsid w:val="00667847"/>
    <w:rsid w:val="00671560"/>
    <w:rsid w:val="00673361"/>
    <w:rsid w:val="00673430"/>
    <w:rsid w:val="006741FB"/>
    <w:rsid w:val="0067628D"/>
    <w:rsid w:val="0068209B"/>
    <w:rsid w:val="006823DA"/>
    <w:rsid w:val="00685879"/>
    <w:rsid w:val="0068607E"/>
    <w:rsid w:val="006865B8"/>
    <w:rsid w:val="00686B29"/>
    <w:rsid w:val="006908E0"/>
    <w:rsid w:val="00691550"/>
    <w:rsid w:val="00691704"/>
    <w:rsid w:val="00691F2E"/>
    <w:rsid w:val="00692C61"/>
    <w:rsid w:val="00693E8E"/>
    <w:rsid w:val="00697A17"/>
    <w:rsid w:val="006A0F77"/>
    <w:rsid w:val="006A12EC"/>
    <w:rsid w:val="006A242D"/>
    <w:rsid w:val="006A2AC3"/>
    <w:rsid w:val="006A2F68"/>
    <w:rsid w:val="006A5343"/>
    <w:rsid w:val="006A69C0"/>
    <w:rsid w:val="006B1BAA"/>
    <w:rsid w:val="006B6360"/>
    <w:rsid w:val="006C0EBF"/>
    <w:rsid w:val="006C3666"/>
    <w:rsid w:val="006C5035"/>
    <w:rsid w:val="006D24D8"/>
    <w:rsid w:val="006D30A7"/>
    <w:rsid w:val="006D79AC"/>
    <w:rsid w:val="006D7E6D"/>
    <w:rsid w:val="006E0C32"/>
    <w:rsid w:val="006E51B8"/>
    <w:rsid w:val="006E7404"/>
    <w:rsid w:val="006F3421"/>
    <w:rsid w:val="006F452B"/>
    <w:rsid w:val="006F4664"/>
    <w:rsid w:val="006F4CFA"/>
    <w:rsid w:val="006F5E0A"/>
    <w:rsid w:val="006F61D8"/>
    <w:rsid w:val="006F70F4"/>
    <w:rsid w:val="006F712F"/>
    <w:rsid w:val="007008CC"/>
    <w:rsid w:val="0070149E"/>
    <w:rsid w:val="00702F63"/>
    <w:rsid w:val="007036ED"/>
    <w:rsid w:val="0070695E"/>
    <w:rsid w:val="007109D5"/>
    <w:rsid w:val="00714F02"/>
    <w:rsid w:val="007227F2"/>
    <w:rsid w:val="00723636"/>
    <w:rsid w:val="00723668"/>
    <w:rsid w:val="00723CDA"/>
    <w:rsid w:val="007254A3"/>
    <w:rsid w:val="0072670E"/>
    <w:rsid w:val="00726F21"/>
    <w:rsid w:val="0073131C"/>
    <w:rsid w:val="0073256C"/>
    <w:rsid w:val="00733D5D"/>
    <w:rsid w:val="00734631"/>
    <w:rsid w:val="00736074"/>
    <w:rsid w:val="00743969"/>
    <w:rsid w:val="007471EE"/>
    <w:rsid w:val="0074790E"/>
    <w:rsid w:val="00753366"/>
    <w:rsid w:val="00753AF2"/>
    <w:rsid w:val="0075409B"/>
    <w:rsid w:val="00754E93"/>
    <w:rsid w:val="0075736C"/>
    <w:rsid w:val="00757E51"/>
    <w:rsid w:val="00760047"/>
    <w:rsid w:val="0076329C"/>
    <w:rsid w:val="00765E0D"/>
    <w:rsid w:val="0077091A"/>
    <w:rsid w:val="00770B7F"/>
    <w:rsid w:val="00771C17"/>
    <w:rsid w:val="00772052"/>
    <w:rsid w:val="00774DBF"/>
    <w:rsid w:val="00781923"/>
    <w:rsid w:val="007824CB"/>
    <w:rsid w:val="007834A4"/>
    <w:rsid w:val="00784212"/>
    <w:rsid w:val="0078599B"/>
    <w:rsid w:val="0079230D"/>
    <w:rsid w:val="0079426B"/>
    <w:rsid w:val="007943FA"/>
    <w:rsid w:val="007955FF"/>
    <w:rsid w:val="00796747"/>
    <w:rsid w:val="00796E34"/>
    <w:rsid w:val="0079702A"/>
    <w:rsid w:val="007A05F2"/>
    <w:rsid w:val="007A069C"/>
    <w:rsid w:val="007A0ECC"/>
    <w:rsid w:val="007A1EBF"/>
    <w:rsid w:val="007A5660"/>
    <w:rsid w:val="007B1A54"/>
    <w:rsid w:val="007B3806"/>
    <w:rsid w:val="007B579C"/>
    <w:rsid w:val="007B63D5"/>
    <w:rsid w:val="007B64F2"/>
    <w:rsid w:val="007B7BA7"/>
    <w:rsid w:val="007C180B"/>
    <w:rsid w:val="007C2A12"/>
    <w:rsid w:val="007C2A7B"/>
    <w:rsid w:val="007C4214"/>
    <w:rsid w:val="007C6553"/>
    <w:rsid w:val="007D30AE"/>
    <w:rsid w:val="007D3F03"/>
    <w:rsid w:val="007D4940"/>
    <w:rsid w:val="007E0116"/>
    <w:rsid w:val="007E39E2"/>
    <w:rsid w:val="007E40DE"/>
    <w:rsid w:val="007E5188"/>
    <w:rsid w:val="007E73A7"/>
    <w:rsid w:val="007E7599"/>
    <w:rsid w:val="007F0BC9"/>
    <w:rsid w:val="007F3D85"/>
    <w:rsid w:val="007F41F2"/>
    <w:rsid w:val="007F5499"/>
    <w:rsid w:val="007F7B44"/>
    <w:rsid w:val="00801D5C"/>
    <w:rsid w:val="00803872"/>
    <w:rsid w:val="00803BCD"/>
    <w:rsid w:val="0080462C"/>
    <w:rsid w:val="00806951"/>
    <w:rsid w:val="0081134A"/>
    <w:rsid w:val="008113B7"/>
    <w:rsid w:val="00811EBD"/>
    <w:rsid w:val="008152EB"/>
    <w:rsid w:val="008214FF"/>
    <w:rsid w:val="00822E0B"/>
    <w:rsid w:val="008258BC"/>
    <w:rsid w:val="0083038F"/>
    <w:rsid w:val="00832C7B"/>
    <w:rsid w:val="0083405B"/>
    <w:rsid w:val="008349F2"/>
    <w:rsid w:val="0083670A"/>
    <w:rsid w:val="00836A3D"/>
    <w:rsid w:val="00837CBA"/>
    <w:rsid w:val="008416EE"/>
    <w:rsid w:val="008423A2"/>
    <w:rsid w:val="008440B1"/>
    <w:rsid w:val="00844AFA"/>
    <w:rsid w:val="0085464E"/>
    <w:rsid w:val="00855F1E"/>
    <w:rsid w:val="0085621B"/>
    <w:rsid w:val="00857137"/>
    <w:rsid w:val="008575F8"/>
    <w:rsid w:val="00857D34"/>
    <w:rsid w:val="00862B8C"/>
    <w:rsid w:val="0086427B"/>
    <w:rsid w:val="00870B0B"/>
    <w:rsid w:val="0087350D"/>
    <w:rsid w:val="0087538D"/>
    <w:rsid w:val="00876034"/>
    <w:rsid w:val="0087651F"/>
    <w:rsid w:val="00881769"/>
    <w:rsid w:val="00882B17"/>
    <w:rsid w:val="008854FD"/>
    <w:rsid w:val="00885C6C"/>
    <w:rsid w:val="00886651"/>
    <w:rsid w:val="00886A19"/>
    <w:rsid w:val="00890D39"/>
    <w:rsid w:val="00894A7E"/>
    <w:rsid w:val="008972BF"/>
    <w:rsid w:val="008A0FA5"/>
    <w:rsid w:val="008A2378"/>
    <w:rsid w:val="008B159B"/>
    <w:rsid w:val="008B17A1"/>
    <w:rsid w:val="008B3E13"/>
    <w:rsid w:val="008B464F"/>
    <w:rsid w:val="008B6CA0"/>
    <w:rsid w:val="008C55E7"/>
    <w:rsid w:val="008C74AD"/>
    <w:rsid w:val="008C7B48"/>
    <w:rsid w:val="008D15C8"/>
    <w:rsid w:val="008D2EC1"/>
    <w:rsid w:val="008D3282"/>
    <w:rsid w:val="008D4C3E"/>
    <w:rsid w:val="008E5650"/>
    <w:rsid w:val="008E6CBB"/>
    <w:rsid w:val="008F07BD"/>
    <w:rsid w:val="008F0BC4"/>
    <w:rsid w:val="008F1DD3"/>
    <w:rsid w:val="008F2705"/>
    <w:rsid w:val="008F301E"/>
    <w:rsid w:val="008F3BD1"/>
    <w:rsid w:val="008F49F1"/>
    <w:rsid w:val="008F74B6"/>
    <w:rsid w:val="009001C3"/>
    <w:rsid w:val="00900E41"/>
    <w:rsid w:val="00901009"/>
    <w:rsid w:val="009049E1"/>
    <w:rsid w:val="00905CD4"/>
    <w:rsid w:val="0090784F"/>
    <w:rsid w:val="009129CB"/>
    <w:rsid w:val="00917C0E"/>
    <w:rsid w:val="009215F1"/>
    <w:rsid w:val="00922344"/>
    <w:rsid w:val="00922E63"/>
    <w:rsid w:val="0092366D"/>
    <w:rsid w:val="00923C07"/>
    <w:rsid w:val="0092609D"/>
    <w:rsid w:val="00930752"/>
    <w:rsid w:val="00930787"/>
    <w:rsid w:val="00932EF4"/>
    <w:rsid w:val="00933388"/>
    <w:rsid w:val="00934091"/>
    <w:rsid w:val="009346D7"/>
    <w:rsid w:val="00934BAD"/>
    <w:rsid w:val="0093519E"/>
    <w:rsid w:val="009357C9"/>
    <w:rsid w:val="0093681E"/>
    <w:rsid w:val="00936A9C"/>
    <w:rsid w:val="00937E66"/>
    <w:rsid w:val="00940268"/>
    <w:rsid w:val="0094601E"/>
    <w:rsid w:val="00946E2E"/>
    <w:rsid w:val="00947536"/>
    <w:rsid w:val="00950E7C"/>
    <w:rsid w:val="009528A9"/>
    <w:rsid w:val="00954161"/>
    <w:rsid w:val="0096687F"/>
    <w:rsid w:val="00971B79"/>
    <w:rsid w:val="0097447E"/>
    <w:rsid w:val="009774BC"/>
    <w:rsid w:val="009807C5"/>
    <w:rsid w:val="009835C6"/>
    <w:rsid w:val="00984524"/>
    <w:rsid w:val="009913A1"/>
    <w:rsid w:val="00993696"/>
    <w:rsid w:val="0099470E"/>
    <w:rsid w:val="009A5581"/>
    <w:rsid w:val="009B05F1"/>
    <w:rsid w:val="009B1952"/>
    <w:rsid w:val="009B3512"/>
    <w:rsid w:val="009B704C"/>
    <w:rsid w:val="009C08D6"/>
    <w:rsid w:val="009C0DFC"/>
    <w:rsid w:val="009C52D2"/>
    <w:rsid w:val="009C60F8"/>
    <w:rsid w:val="009C64DF"/>
    <w:rsid w:val="009C7EA0"/>
    <w:rsid w:val="009D04E8"/>
    <w:rsid w:val="009D0FC6"/>
    <w:rsid w:val="009D2BE1"/>
    <w:rsid w:val="009D6ACE"/>
    <w:rsid w:val="009D723B"/>
    <w:rsid w:val="009D781C"/>
    <w:rsid w:val="009E1747"/>
    <w:rsid w:val="009E3575"/>
    <w:rsid w:val="009F0654"/>
    <w:rsid w:val="009F1D09"/>
    <w:rsid w:val="009F3008"/>
    <w:rsid w:val="00A00099"/>
    <w:rsid w:val="00A033B0"/>
    <w:rsid w:val="00A046FE"/>
    <w:rsid w:val="00A05A97"/>
    <w:rsid w:val="00A067BE"/>
    <w:rsid w:val="00A06F09"/>
    <w:rsid w:val="00A07417"/>
    <w:rsid w:val="00A14953"/>
    <w:rsid w:val="00A165C9"/>
    <w:rsid w:val="00A24264"/>
    <w:rsid w:val="00A2699D"/>
    <w:rsid w:val="00A31266"/>
    <w:rsid w:val="00A31478"/>
    <w:rsid w:val="00A32E88"/>
    <w:rsid w:val="00A332F0"/>
    <w:rsid w:val="00A333DC"/>
    <w:rsid w:val="00A34839"/>
    <w:rsid w:val="00A34FFC"/>
    <w:rsid w:val="00A475A2"/>
    <w:rsid w:val="00A47DB6"/>
    <w:rsid w:val="00A52267"/>
    <w:rsid w:val="00A523CB"/>
    <w:rsid w:val="00A60153"/>
    <w:rsid w:val="00A704D2"/>
    <w:rsid w:val="00A735C7"/>
    <w:rsid w:val="00A81EA0"/>
    <w:rsid w:val="00A87C89"/>
    <w:rsid w:val="00A92C00"/>
    <w:rsid w:val="00A9305E"/>
    <w:rsid w:val="00A960AA"/>
    <w:rsid w:val="00A96BD0"/>
    <w:rsid w:val="00A97381"/>
    <w:rsid w:val="00AA1CE1"/>
    <w:rsid w:val="00AA2282"/>
    <w:rsid w:val="00AA64F7"/>
    <w:rsid w:val="00AA66C7"/>
    <w:rsid w:val="00AA672D"/>
    <w:rsid w:val="00AA763C"/>
    <w:rsid w:val="00AA7A6F"/>
    <w:rsid w:val="00AB1BFE"/>
    <w:rsid w:val="00AB4B2F"/>
    <w:rsid w:val="00AB5062"/>
    <w:rsid w:val="00AB64EB"/>
    <w:rsid w:val="00AB7E7E"/>
    <w:rsid w:val="00AD1B74"/>
    <w:rsid w:val="00AD5702"/>
    <w:rsid w:val="00AD79DB"/>
    <w:rsid w:val="00AE13BD"/>
    <w:rsid w:val="00AE2073"/>
    <w:rsid w:val="00AE3189"/>
    <w:rsid w:val="00AE5341"/>
    <w:rsid w:val="00AE79EF"/>
    <w:rsid w:val="00AF0EAF"/>
    <w:rsid w:val="00AF1071"/>
    <w:rsid w:val="00AF6E94"/>
    <w:rsid w:val="00B0086A"/>
    <w:rsid w:val="00B00D42"/>
    <w:rsid w:val="00B0246A"/>
    <w:rsid w:val="00B035BF"/>
    <w:rsid w:val="00B03B3D"/>
    <w:rsid w:val="00B04569"/>
    <w:rsid w:val="00B0729E"/>
    <w:rsid w:val="00B0760A"/>
    <w:rsid w:val="00B11CDC"/>
    <w:rsid w:val="00B12CDC"/>
    <w:rsid w:val="00B142A1"/>
    <w:rsid w:val="00B17181"/>
    <w:rsid w:val="00B2354C"/>
    <w:rsid w:val="00B246CA"/>
    <w:rsid w:val="00B271C8"/>
    <w:rsid w:val="00B27D22"/>
    <w:rsid w:val="00B27F0D"/>
    <w:rsid w:val="00B31534"/>
    <w:rsid w:val="00B31A32"/>
    <w:rsid w:val="00B33137"/>
    <w:rsid w:val="00B33C83"/>
    <w:rsid w:val="00B341EF"/>
    <w:rsid w:val="00B343F4"/>
    <w:rsid w:val="00B352AB"/>
    <w:rsid w:val="00B420BE"/>
    <w:rsid w:val="00B42825"/>
    <w:rsid w:val="00B44AF4"/>
    <w:rsid w:val="00B463DC"/>
    <w:rsid w:val="00B46D58"/>
    <w:rsid w:val="00B46E97"/>
    <w:rsid w:val="00B4714A"/>
    <w:rsid w:val="00B5055D"/>
    <w:rsid w:val="00B5111F"/>
    <w:rsid w:val="00B52D26"/>
    <w:rsid w:val="00B55338"/>
    <w:rsid w:val="00B57868"/>
    <w:rsid w:val="00B61F48"/>
    <w:rsid w:val="00B63EF8"/>
    <w:rsid w:val="00B65436"/>
    <w:rsid w:val="00B66067"/>
    <w:rsid w:val="00B6646B"/>
    <w:rsid w:val="00B66BB6"/>
    <w:rsid w:val="00B67A13"/>
    <w:rsid w:val="00B71A2D"/>
    <w:rsid w:val="00B76D2E"/>
    <w:rsid w:val="00B80150"/>
    <w:rsid w:val="00B81899"/>
    <w:rsid w:val="00B83D4B"/>
    <w:rsid w:val="00B8584D"/>
    <w:rsid w:val="00B86727"/>
    <w:rsid w:val="00B86A9F"/>
    <w:rsid w:val="00B9152F"/>
    <w:rsid w:val="00B9446A"/>
    <w:rsid w:val="00B948CC"/>
    <w:rsid w:val="00B94F29"/>
    <w:rsid w:val="00B96478"/>
    <w:rsid w:val="00B97B64"/>
    <w:rsid w:val="00BA0A5C"/>
    <w:rsid w:val="00BA1AF6"/>
    <w:rsid w:val="00BA505D"/>
    <w:rsid w:val="00BA5529"/>
    <w:rsid w:val="00BA6CA0"/>
    <w:rsid w:val="00BA7B5D"/>
    <w:rsid w:val="00BB4C92"/>
    <w:rsid w:val="00BB6968"/>
    <w:rsid w:val="00BC21AF"/>
    <w:rsid w:val="00BC3F6D"/>
    <w:rsid w:val="00BC5A46"/>
    <w:rsid w:val="00BC7463"/>
    <w:rsid w:val="00BC75AE"/>
    <w:rsid w:val="00BD17EC"/>
    <w:rsid w:val="00BD34CA"/>
    <w:rsid w:val="00BD39A1"/>
    <w:rsid w:val="00BD3EBD"/>
    <w:rsid w:val="00BD412F"/>
    <w:rsid w:val="00BD4C6B"/>
    <w:rsid w:val="00BD60AE"/>
    <w:rsid w:val="00BE0414"/>
    <w:rsid w:val="00BE1726"/>
    <w:rsid w:val="00BE1EC8"/>
    <w:rsid w:val="00BE2B47"/>
    <w:rsid w:val="00BE4411"/>
    <w:rsid w:val="00BE7722"/>
    <w:rsid w:val="00BF382B"/>
    <w:rsid w:val="00BF5713"/>
    <w:rsid w:val="00BF5D18"/>
    <w:rsid w:val="00BF6C10"/>
    <w:rsid w:val="00C00455"/>
    <w:rsid w:val="00C01420"/>
    <w:rsid w:val="00C02C5E"/>
    <w:rsid w:val="00C03A85"/>
    <w:rsid w:val="00C04552"/>
    <w:rsid w:val="00C06FB5"/>
    <w:rsid w:val="00C140B3"/>
    <w:rsid w:val="00C14EC0"/>
    <w:rsid w:val="00C17F8F"/>
    <w:rsid w:val="00C21109"/>
    <w:rsid w:val="00C21CA2"/>
    <w:rsid w:val="00C2446F"/>
    <w:rsid w:val="00C30A54"/>
    <w:rsid w:val="00C31C70"/>
    <w:rsid w:val="00C32976"/>
    <w:rsid w:val="00C36B06"/>
    <w:rsid w:val="00C41E13"/>
    <w:rsid w:val="00C4324F"/>
    <w:rsid w:val="00C44149"/>
    <w:rsid w:val="00C44427"/>
    <w:rsid w:val="00C44BB7"/>
    <w:rsid w:val="00C44D1E"/>
    <w:rsid w:val="00C469DA"/>
    <w:rsid w:val="00C50E66"/>
    <w:rsid w:val="00C52285"/>
    <w:rsid w:val="00C5244B"/>
    <w:rsid w:val="00C53071"/>
    <w:rsid w:val="00C5606D"/>
    <w:rsid w:val="00C602F9"/>
    <w:rsid w:val="00C628BA"/>
    <w:rsid w:val="00C63A35"/>
    <w:rsid w:val="00C64090"/>
    <w:rsid w:val="00C6492C"/>
    <w:rsid w:val="00C657F5"/>
    <w:rsid w:val="00C66E8E"/>
    <w:rsid w:val="00C67034"/>
    <w:rsid w:val="00C7153A"/>
    <w:rsid w:val="00C7396F"/>
    <w:rsid w:val="00C750D3"/>
    <w:rsid w:val="00C75967"/>
    <w:rsid w:val="00C7770C"/>
    <w:rsid w:val="00C817EE"/>
    <w:rsid w:val="00C872B1"/>
    <w:rsid w:val="00C87832"/>
    <w:rsid w:val="00C9236B"/>
    <w:rsid w:val="00C97AD6"/>
    <w:rsid w:val="00C97F08"/>
    <w:rsid w:val="00CA372B"/>
    <w:rsid w:val="00CA7E25"/>
    <w:rsid w:val="00CB0A5A"/>
    <w:rsid w:val="00CB13DE"/>
    <w:rsid w:val="00CB150F"/>
    <w:rsid w:val="00CB2995"/>
    <w:rsid w:val="00CB4B7B"/>
    <w:rsid w:val="00CB5338"/>
    <w:rsid w:val="00CB54F7"/>
    <w:rsid w:val="00CB5F1F"/>
    <w:rsid w:val="00CC3C9D"/>
    <w:rsid w:val="00CC4F21"/>
    <w:rsid w:val="00CC5324"/>
    <w:rsid w:val="00CC6F3C"/>
    <w:rsid w:val="00CD07A0"/>
    <w:rsid w:val="00CD2820"/>
    <w:rsid w:val="00CD4EC9"/>
    <w:rsid w:val="00CD6F7C"/>
    <w:rsid w:val="00CE1E6C"/>
    <w:rsid w:val="00CE237B"/>
    <w:rsid w:val="00CE2D10"/>
    <w:rsid w:val="00CF2430"/>
    <w:rsid w:val="00CF2BA0"/>
    <w:rsid w:val="00D0117E"/>
    <w:rsid w:val="00D10FFC"/>
    <w:rsid w:val="00D1267A"/>
    <w:rsid w:val="00D14247"/>
    <w:rsid w:val="00D1750D"/>
    <w:rsid w:val="00D20938"/>
    <w:rsid w:val="00D2093C"/>
    <w:rsid w:val="00D20B62"/>
    <w:rsid w:val="00D22230"/>
    <w:rsid w:val="00D222EF"/>
    <w:rsid w:val="00D24DE1"/>
    <w:rsid w:val="00D26C9F"/>
    <w:rsid w:val="00D306B0"/>
    <w:rsid w:val="00D341A4"/>
    <w:rsid w:val="00D3485F"/>
    <w:rsid w:val="00D34AE7"/>
    <w:rsid w:val="00D34E57"/>
    <w:rsid w:val="00D36F35"/>
    <w:rsid w:val="00D45EDF"/>
    <w:rsid w:val="00D46C36"/>
    <w:rsid w:val="00D5456B"/>
    <w:rsid w:val="00D55094"/>
    <w:rsid w:val="00D55F10"/>
    <w:rsid w:val="00D5702F"/>
    <w:rsid w:val="00D61830"/>
    <w:rsid w:val="00D62B23"/>
    <w:rsid w:val="00D62F3B"/>
    <w:rsid w:val="00D6370B"/>
    <w:rsid w:val="00D66A10"/>
    <w:rsid w:val="00D710D4"/>
    <w:rsid w:val="00D7627E"/>
    <w:rsid w:val="00D7656D"/>
    <w:rsid w:val="00D76FF6"/>
    <w:rsid w:val="00D812A5"/>
    <w:rsid w:val="00D83B9A"/>
    <w:rsid w:val="00D862F8"/>
    <w:rsid w:val="00D87058"/>
    <w:rsid w:val="00D87161"/>
    <w:rsid w:val="00D87DA9"/>
    <w:rsid w:val="00D90CCA"/>
    <w:rsid w:val="00D9159F"/>
    <w:rsid w:val="00D915C6"/>
    <w:rsid w:val="00D946A1"/>
    <w:rsid w:val="00D962B6"/>
    <w:rsid w:val="00D96C97"/>
    <w:rsid w:val="00DA101E"/>
    <w:rsid w:val="00DA1D94"/>
    <w:rsid w:val="00DA1DCD"/>
    <w:rsid w:val="00DA2B41"/>
    <w:rsid w:val="00DA3AD9"/>
    <w:rsid w:val="00DA6C3F"/>
    <w:rsid w:val="00DB1E77"/>
    <w:rsid w:val="00DB5A81"/>
    <w:rsid w:val="00DC4424"/>
    <w:rsid w:val="00DC5BE2"/>
    <w:rsid w:val="00DC6DF3"/>
    <w:rsid w:val="00DD369A"/>
    <w:rsid w:val="00DD442C"/>
    <w:rsid w:val="00DD4AFE"/>
    <w:rsid w:val="00DD575B"/>
    <w:rsid w:val="00DD587E"/>
    <w:rsid w:val="00DD6501"/>
    <w:rsid w:val="00DD7C44"/>
    <w:rsid w:val="00DE056E"/>
    <w:rsid w:val="00DE32CC"/>
    <w:rsid w:val="00DE3839"/>
    <w:rsid w:val="00DE62D0"/>
    <w:rsid w:val="00DE79E1"/>
    <w:rsid w:val="00DE7D44"/>
    <w:rsid w:val="00DF053C"/>
    <w:rsid w:val="00DF1CBB"/>
    <w:rsid w:val="00DF23B4"/>
    <w:rsid w:val="00DF2C9D"/>
    <w:rsid w:val="00DF6158"/>
    <w:rsid w:val="00E0267E"/>
    <w:rsid w:val="00E05648"/>
    <w:rsid w:val="00E066C8"/>
    <w:rsid w:val="00E07034"/>
    <w:rsid w:val="00E10ED6"/>
    <w:rsid w:val="00E13D05"/>
    <w:rsid w:val="00E143C2"/>
    <w:rsid w:val="00E1500B"/>
    <w:rsid w:val="00E1520D"/>
    <w:rsid w:val="00E2113D"/>
    <w:rsid w:val="00E2675C"/>
    <w:rsid w:val="00E32E5A"/>
    <w:rsid w:val="00E349AE"/>
    <w:rsid w:val="00E3590F"/>
    <w:rsid w:val="00E37A87"/>
    <w:rsid w:val="00E42B97"/>
    <w:rsid w:val="00E4313D"/>
    <w:rsid w:val="00E4561F"/>
    <w:rsid w:val="00E4579D"/>
    <w:rsid w:val="00E5019F"/>
    <w:rsid w:val="00E513AA"/>
    <w:rsid w:val="00E538CB"/>
    <w:rsid w:val="00E55148"/>
    <w:rsid w:val="00E55EB2"/>
    <w:rsid w:val="00E573E7"/>
    <w:rsid w:val="00E574E5"/>
    <w:rsid w:val="00E5751F"/>
    <w:rsid w:val="00E57E73"/>
    <w:rsid w:val="00E62053"/>
    <w:rsid w:val="00E65524"/>
    <w:rsid w:val="00E66A7B"/>
    <w:rsid w:val="00E703D2"/>
    <w:rsid w:val="00E72A3A"/>
    <w:rsid w:val="00E72B58"/>
    <w:rsid w:val="00E73237"/>
    <w:rsid w:val="00E73F63"/>
    <w:rsid w:val="00E826ED"/>
    <w:rsid w:val="00E82A2D"/>
    <w:rsid w:val="00E85CC9"/>
    <w:rsid w:val="00E85D77"/>
    <w:rsid w:val="00E86211"/>
    <w:rsid w:val="00E86213"/>
    <w:rsid w:val="00E93767"/>
    <w:rsid w:val="00E94940"/>
    <w:rsid w:val="00E955D4"/>
    <w:rsid w:val="00E969A2"/>
    <w:rsid w:val="00EA117D"/>
    <w:rsid w:val="00EA279D"/>
    <w:rsid w:val="00EB1218"/>
    <w:rsid w:val="00EB2E53"/>
    <w:rsid w:val="00EB314C"/>
    <w:rsid w:val="00EB52A5"/>
    <w:rsid w:val="00EC0F10"/>
    <w:rsid w:val="00EC1D7E"/>
    <w:rsid w:val="00EC4F06"/>
    <w:rsid w:val="00EC709E"/>
    <w:rsid w:val="00ED3C5F"/>
    <w:rsid w:val="00ED3C8A"/>
    <w:rsid w:val="00ED4827"/>
    <w:rsid w:val="00EE0BC1"/>
    <w:rsid w:val="00EE11CE"/>
    <w:rsid w:val="00EE152E"/>
    <w:rsid w:val="00EE1C78"/>
    <w:rsid w:val="00EE2225"/>
    <w:rsid w:val="00EE29E6"/>
    <w:rsid w:val="00EE6386"/>
    <w:rsid w:val="00EF1649"/>
    <w:rsid w:val="00EF26E6"/>
    <w:rsid w:val="00EF2966"/>
    <w:rsid w:val="00EF532C"/>
    <w:rsid w:val="00EF723E"/>
    <w:rsid w:val="00F017A1"/>
    <w:rsid w:val="00F0541E"/>
    <w:rsid w:val="00F10717"/>
    <w:rsid w:val="00F115CD"/>
    <w:rsid w:val="00F11E49"/>
    <w:rsid w:val="00F138B2"/>
    <w:rsid w:val="00F14214"/>
    <w:rsid w:val="00F14A0D"/>
    <w:rsid w:val="00F14F1A"/>
    <w:rsid w:val="00F17E9C"/>
    <w:rsid w:val="00F2097C"/>
    <w:rsid w:val="00F21151"/>
    <w:rsid w:val="00F211D3"/>
    <w:rsid w:val="00F308A4"/>
    <w:rsid w:val="00F316C7"/>
    <w:rsid w:val="00F3793D"/>
    <w:rsid w:val="00F41282"/>
    <w:rsid w:val="00F41B7D"/>
    <w:rsid w:val="00F429D0"/>
    <w:rsid w:val="00F42E83"/>
    <w:rsid w:val="00F516C5"/>
    <w:rsid w:val="00F57585"/>
    <w:rsid w:val="00F61A60"/>
    <w:rsid w:val="00F65318"/>
    <w:rsid w:val="00F672D7"/>
    <w:rsid w:val="00F722C8"/>
    <w:rsid w:val="00F72F4F"/>
    <w:rsid w:val="00F74E9C"/>
    <w:rsid w:val="00F764D0"/>
    <w:rsid w:val="00F77A54"/>
    <w:rsid w:val="00F81503"/>
    <w:rsid w:val="00F828C3"/>
    <w:rsid w:val="00F857E5"/>
    <w:rsid w:val="00F86011"/>
    <w:rsid w:val="00F869CF"/>
    <w:rsid w:val="00F87A85"/>
    <w:rsid w:val="00F9079B"/>
    <w:rsid w:val="00F90982"/>
    <w:rsid w:val="00F90D5D"/>
    <w:rsid w:val="00F91476"/>
    <w:rsid w:val="00FA23B5"/>
    <w:rsid w:val="00FA42A8"/>
    <w:rsid w:val="00FA529D"/>
    <w:rsid w:val="00FA63D2"/>
    <w:rsid w:val="00FA7453"/>
    <w:rsid w:val="00FA773F"/>
    <w:rsid w:val="00FB3049"/>
    <w:rsid w:val="00FB6AD8"/>
    <w:rsid w:val="00FC2A30"/>
    <w:rsid w:val="00FC2E80"/>
    <w:rsid w:val="00FC3415"/>
    <w:rsid w:val="00FC4315"/>
    <w:rsid w:val="00FC4BA9"/>
    <w:rsid w:val="00FC6EE0"/>
    <w:rsid w:val="00FD1617"/>
    <w:rsid w:val="00FD2B29"/>
    <w:rsid w:val="00FD3702"/>
    <w:rsid w:val="00FD40A8"/>
    <w:rsid w:val="00FE021D"/>
    <w:rsid w:val="00FE0D49"/>
    <w:rsid w:val="00FE32D0"/>
    <w:rsid w:val="00FE34C2"/>
    <w:rsid w:val="00FE43BB"/>
    <w:rsid w:val="00FE6196"/>
    <w:rsid w:val="00FE73A7"/>
    <w:rsid w:val="00FF22E6"/>
    <w:rsid w:val="00FF2FE0"/>
    <w:rsid w:val="00FF310C"/>
    <w:rsid w:val="00FF4043"/>
    <w:rsid w:val="00FF408A"/>
    <w:rsid w:val="00FF7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EA1A"/>
  <w15:chartTrackingRefBased/>
  <w15:docId w15:val="{D864A093-021F-4D4C-B53A-57F16815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403D"/>
    <w:rPr>
      <w:lang w:val="en-GB"/>
    </w:rPr>
  </w:style>
  <w:style w:type="paragraph" w:styleId="berschrift1">
    <w:name w:val="heading 1"/>
    <w:basedOn w:val="Standard"/>
    <w:next w:val="Standard"/>
    <w:link w:val="berschrift1Zchn"/>
    <w:uiPriority w:val="9"/>
    <w:qFormat/>
    <w:rsid w:val="00C21C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75103"/>
    <w:rPr>
      <w:rFonts w:ascii="Tahoma" w:hAnsi="Tahoma" w:cs="Tahoma"/>
      <w:b w:val="0"/>
      <w:i w:val="0"/>
      <w:caps w:val="0"/>
      <w:strike w:val="0"/>
      <w:sz w:val="16"/>
      <w:szCs w:val="16"/>
      <w:u w:val="none"/>
    </w:rPr>
  </w:style>
  <w:style w:type="paragraph" w:styleId="Kommentartext">
    <w:name w:val="annotation text"/>
    <w:basedOn w:val="Standard"/>
    <w:link w:val="KommentartextZchn"/>
    <w:uiPriority w:val="99"/>
    <w:unhideWhenUsed/>
    <w:rsid w:val="00075103"/>
    <w:pPr>
      <w:spacing w:line="240" w:lineRule="auto"/>
    </w:pPr>
    <w:rPr>
      <w:rFonts w:ascii="Tahoma" w:hAnsi="Tahoma" w:cs="Tahoma"/>
      <w:sz w:val="16"/>
      <w:szCs w:val="20"/>
      <w:lang w:val="en-US"/>
    </w:rPr>
  </w:style>
  <w:style w:type="character" w:customStyle="1" w:styleId="KommentartextZchn">
    <w:name w:val="Kommentartext Zchn"/>
    <w:basedOn w:val="Absatz-Standardschriftart"/>
    <w:link w:val="Kommentartext"/>
    <w:uiPriority w:val="99"/>
    <w:rsid w:val="00075103"/>
    <w:rPr>
      <w:rFonts w:ascii="Tahoma" w:hAnsi="Tahoma" w:cs="Tahoma"/>
      <w:sz w:val="16"/>
      <w:szCs w:val="20"/>
      <w:lang w:val="en-US"/>
    </w:rPr>
  </w:style>
  <w:style w:type="paragraph" w:styleId="Kommentarthema">
    <w:name w:val="annotation subject"/>
    <w:basedOn w:val="Kommentartext"/>
    <w:next w:val="Kommentartext"/>
    <w:link w:val="KommentarthemaZchn"/>
    <w:uiPriority w:val="99"/>
    <w:semiHidden/>
    <w:unhideWhenUsed/>
    <w:rsid w:val="00075103"/>
    <w:rPr>
      <w:b/>
      <w:bCs/>
    </w:rPr>
  </w:style>
  <w:style w:type="character" w:customStyle="1" w:styleId="KommentarthemaZchn">
    <w:name w:val="Kommentarthema Zchn"/>
    <w:basedOn w:val="KommentartextZchn"/>
    <w:link w:val="Kommentarthema"/>
    <w:uiPriority w:val="99"/>
    <w:semiHidden/>
    <w:rsid w:val="00075103"/>
    <w:rPr>
      <w:rFonts w:ascii="Tahoma" w:hAnsi="Tahoma" w:cs="Tahoma"/>
      <w:b/>
      <w:bCs/>
      <w:sz w:val="16"/>
      <w:szCs w:val="20"/>
      <w:lang w:val="en-US"/>
    </w:rPr>
  </w:style>
  <w:style w:type="paragraph" w:styleId="Sprechblasentext">
    <w:name w:val="Balloon Text"/>
    <w:basedOn w:val="Standard"/>
    <w:link w:val="SprechblasentextZchn"/>
    <w:uiPriority w:val="99"/>
    <w:semiHidden/>
    <w:unhideWhenUsed/>
    <w:rsid w:val="00075103"/>
    <w:pPr>
      <w:spacing w:after="0" w:line="240" w:lineRule="auto"/>
    </w:pPr>
    <w:rPr>
      <w:rFonts w:ascii="Segoe UI" w:hAnsi="Segoe UI" w:cs="Segoe UI"/>
      <w:sz w:val="18"/>
      <w:szCs w:val="18"/>
      <w:lang w:val="en-US"/>
    </w:rPr>
  </w:style>
  <w:style w:type="character" w:customStyle="1" w:styleId="SprechblasentextZchn">
    <w:name w:val="Sprechblasentext Zchn"/>
    <w:basedOn w:val="Absatz-Standardschriftart"/>
    <w:link w:val="Sprechblasentext"/>
    <w:uiPriority w:val="99"/>
    <w:semiHidden/>
    <w:rsid w:val="00075103"/>
    <w:rPr>
      <w:rFonts w:ascii="Segoe UI" w:hAnsi="Segoe UI" w:cs="Segoe UI"/>
      <w:sz w:val="18"/>
      <w:szCs w:val="18"/>
      <w:lang w:val="en-US"/>
    </w:rPr>
  </w:style>
  <w:style w:type="table" w:customStyle="1" w:styleId="TableNormal1">
    <w:name w:val="Table Normal1"/>
    <w:uiPriority w:val="2"/>
    <w:semiHidden/>
    <w:unhideWhenUsed/>
    <w:qFormat/>
    <w:rsid w:val="00BC3F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C3F6D"/>
    <w:pPr>
      <w:widowControl w:val="0"/>
      <w:autoSpaceDE w:val="0"/>
      <w:autoSpaceDN w:val="0"/>
      <w:spacing w:before="11" w:after="0" w:line="240" w:lineRule="auto"/>
    </w:pPr>
    <w:rPr>
      <w:rFonts w:ascii="Candara" w:eastAsia="Candara" w:hAnsi="Candara" w:cs="Times New Roman"/>
      <w:sz w:val="24"/>
      <w:szCs w:val="24"/>
      <w:lang w:val="sl" w:eastAsia="sl"/>
    </w:rPr>
  </w:style>
  <w:style w:type="character" w:customStyle="1" w:styleId="TextkrperZchn">
    <w:name w:val="Textkörper Zchn"/>
    <w:basedOn w:val="Absatz-Standardschriftart"/>
    <w:link w:val="Textkrper"/>
    <w:uiPriority w:val="1"/>
    <w:rsid w:val="00BC3F6D"/>
    <w:rPr>
      <w:rFonts w:ascii="Candara" w:eastAsia="Candara" w:hAnsi="Candara" w:cs="Times New Roman"/>
      <w:sz w:val="24"/>
      <w:szCs w:val="24"/>
      <w:lang w:val="sl" w:eastAsia="sl"/>
    </w:rPr>
  </w:style>
  <w:style w:type="paragraph" w:customStyle="1" w:styleId="TableParagraph">
    <w:name w:val="Table Paragraph"/>
    <w:basedOn w:val="Standard"/>
    <w:uiPriority w:val="1"/>
    <w:qFormat/>
    <w:rsid w:val="00BC3F6D"/>
    <w:pPr>
      <w:widowControl w:val="0"/>
      <w:autoSpaceDE w:val="0"/>
      <w:autoSpaceDN w:val="0"/>
      <w:spacing w:after="0" w:line="224" w:lineRule="exact"/>
      <w:ind w:left="107"/>
      <w:jc w:val="center"/>
    </w:pPr>
    <w:rPr>
      <w:rFonts w:ascii="Candara" w:eastAsia="Candara" w:hAnsi="Candara" w:cs="Times New Roman"/>
      <w:lang w:val="sl" w:eastAsia="sl"/>
    </w:rPr>
  </w:style>
  <w:style w:type="paragraph" w:customStyle="1" w:styleId="Default">
    <w:name w:val="Default"/>
    <w:rsid w:val="004E4175"/>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1">
    <w:name w:val="Pa1"/>
    <w:basedOn w:val="Default"/>
    <w:next w:val="Default"/>
    <w:uiPriority w:val="99"/>
    <w:rsid w:val="00753366"/>
    <w:pPr>
      <w:spacing w:line="201" w:lineRule="atLeast"/>
    </w:pPr>
    <w:rPr>
      <w:rFonts w:cstheme="minorBidi"/>
      <w:color w:val="auto"/>
    </w:rPr>
  </w:style>
  <w:style w:type="paragraph" w:customStyle="1" w:styleId="Pa2">
    <w:name w:val="Pa2"/>
    <w:basedOn w:val="Default"/>
    <w:next w:val="Default"/>
    <w:uiPriority w:val="99"/>
    <w:rsid w:val="00753366"/>
    <w:pPr>
      <w:spacing w:line="161" w:lineRule="atLeast"/>
    </w:pPr>
    <w:rPr>
      <w:rFonts w:cstheme="minorBidi"/>
      <w:color w:val="auto"/>
    </w:rPr>
  </w:style>
  <w:style w:type="paragraph" w:customStyle="1" w:styleId="Pa3">
    <w:name w:val="Pa3"/>
    <w:basedOn w:val="Default"/>
    <w:next w:val="Default"/>
    <w:uiPriority w:val="99"/>
    <w:rsid w:val="00753366"/>
    <w:pPr>
      <w:spacing w:line="121" w:lineRule="atLeast"/>
    </w:pPr>
    <w:rPr>
      <w:rFonts w:cstheme="minorBidi"/>
      <w:color w:val="auto"/>
    </w:rPr>
  </w:style>
  <w:style w:type="paragraph" w:styleId="berarbeitung">
    <w:name w:val="Revision"/>
    <w:hidden/>
    <w:uiPriority w:val="99"/>
    <w:semiHidden/>
    <w:rsid w:val="00C52285"/>
    <w:pPr>
      <w:spacing w:after="0" w:line="240" w:lineRule="auto"/>
    </w:pPr>
  </w:style>
  <w:style w:type="character" w:styleId="Hyperlink">
    <w:name w:val="Hyperlink"/>
    <w:basedOn w:val="Absatz-Standardschriftart"/>
    <w:uiPriority w:val="99"/>
    <w:unhideWhenUsed/>
    <w:rsid w:val="005850F7"/>
    <w:rPr>
      <w:color w:val="0563C1" w:themeColor="hyperlink"/>
      <w:u w:val="single"/>
    </w:rPr>
  </w:style>
  <w:style w:type="character" w:customStyle="1" w:styleId="NichtaufgelsteErwhnung1">
    <w:name w:val="Nicht aufgelöste Erwähnung1"/>
    <w:basedOn w:val="Absatz-Standardschriftart"/>
    <w:uiPriority w:val="99"/>
    <w:semiHidden/>
    <w:unhideWhenUsed/>
    <w:rsid w:val="005850F7"/>
    <w:rPr>
      <w:color w:val="605E5C"/>
      <w:shd w:val="clear" w:color="auto" w:fill="E1DFDD"/>
    </w:rPr>
  </w:style>
  <w:style w:type="character" w:styleId="BesuchterLink">
    <w:name w:val="FollowedHyperlink"/>
    <w:basedOn w:val="Absatz-Standardschriftart"/>
    <w:uiPriority w:val="99"/>
    <w:semiHidden/>
    <w:unhideWhenUsed/>
    <w:rsid w:val="00F14A0D"/>
    <w:rPr>
      <w:color w:val="954F72" w:themeColor="followedHyperlink"/>
      <w:u w:val="single"/>
    </w:rPr>
  </w:style>
  <w:style w:type="character" w:customStyle="1" w:styleId="berschrift1Zchn">
    <w:name w:val="Überschrift 1 Zchn"/>
    <w:basedOn w:val="Absatz-Standardschriftart"/>
    <w:link w:val="berschrift1"/>
    <w:uiPriority w:val="9"/>
    <w:rsid w:val="00C21CA2"/>
    <w:rPr>
      <w:rFonts w:asciiTheme="majorHAnsi" w:eastAsiaTheme="majorEastAsia" w:hAnsiTheme="majorHAnsi" w:cstheme="majorBidi"/>
      <w:color w:val="2F5496" w:themeColor="accent1" w:themeShade="BF"/>
      <w:sz w:val="32"/>
      <w:szCs w:val="32"/>
    </w:rPr>
  </w:style>
  <w:style w:type="paragraph" w:styleId="Beschriftung">
    <w:name w:val="caption"/>
    <w:basedOn w:val="Standard"/>
    <w:next w:val="Standard"/>
    <w:uiPriority w:val="35"/>
    <w:unhideWhenUsed/>
    <w:qFormat/>
    <w:rsid w:val="00C21CA2"/>
    <w:pPr>
      <w:spacing w:before="40" w:after="200" w:line="240" w:lineRule="auto"/>
      <w:jc w:val="both"/>
    </w:pPr>
    <w:rPr>
      <w:i/>
      <w:iCs/>
      <w:color w:val="44546A" w:themeColor="text2"/>
      <w:sz w:val="18"/>
      <w:szCs w:val="18"/>
    </w:rPr>
  </w:style>
  <w:style w:type="paragraph" w:styleId="Listenabsatz">
    <w:name w:val="List Paragraph"/>
    <w:basedOn w:val="Standard"/>
    <w:link w:val="ListenabsatzZchn"/>
    <w:uiPriority w:val="34"/>
    <w:qFormat/>
    <w:rsid w:val="00A31266"/>
    <w:pPr>
      <w:ind w:left="720"/>
      <w:contextualSpacing/>
    </w:pPr>
  </w:style>
  <w:style w:type="paragraph" w:customStyle="1" w:styleId="Barvniseznampoudarek11">
    <w:name w:val="Barvni seznam – poudarek 11"/>
    <w:basedOn w:val="Standard"/>
    <w:rsid w:val="00A31266"/>
    <w:pPr>
      <w:spacing w:line="276" w:lineRule="auto"/>
      <w:ind w:left="720"/>
      <w:contextualSpacing/>
    </w:pPr>
    <w:rPr>
      <w:rFonts w:ascii="Calibri" w:eastAsia="Times New Roman" w:hAnsi="Calibri" w:cs="Times New Roman"/>
      <w:sz w:val="21"/>
      <w:szCs w:val="21"/>
      <w:lang w:val="sl-SI" w:eastAsia="sl-SI"/>
    </w:rPr>
  </w:style>
  <w:style w:type="character" w:customStyle="1" w:styleId="ListenabsatzZchn">
    <w:name w:val="Listenabsatz Zchn"/>
    <w:link w:val="Listenabsatz"/>
    <w:uiPriority w:val="34"/>
    <w:locked/>
    <w:rsid w:val="00AB7E7E"/>
  </w:style>
  <w:style w:type="paragraph" w:styleId="Funotentext">
    <w:name w:val="footnote text"/>
    <w:aliases w:val="Sprotna opomba - besedilo Znak Znak Znak Znak Znak,Sprotna opomba - besedilo Znak Znak2,Sprotna opomba - besedilo Znak1,Sprotna opomba - besedilo Znak1 Znak Znak Znak,Sprotna opomba - besedilo Znak1 Znak Znak1,Znak Znak Znak,fn"/>
    <w:basedOn w:val="Standard"/>
    <w:link w:val="FunotentextZchn"/>
    <w:uiPriority w:val="99"/>
    <w:unhideWhenUsed/>
    <w:qFormat/>
    <w:rsid w:val="009F1D09"/>
    <w:pPr>
      <w:spacing w:after="0" w:line="240" w:lineRule="auto"/>
    </w:pPr>
    <w:rPr>
      <w:sz w:val="20"/>
      <w:szCs w:val="20"/>
    </w:rPr>
  </w:style>
  <w:style w:type="character" w:customStyle="1" w:styleId="FunotentextZchn">
    <w:name w:val="Fußnotentext Zchn"/>
    <w:aliases w:val="Sprotna opomba - besedilo Znak Znak Znak Znak Znak Zchn,Sprotna opomba - besedilo Znak Znak2 Zchn,Sprotna opomba - besedilo Znak1 Zchn,Sprotna opomba - besedilo Znak1 Znak Znak Znak Zchn,Sprotna opomba - besedilo Znak1 Znak Znak1 Zchn"/>
    <w:basedOn w:val="Absatz-Standardschriftart"/>
    <w:link w:val="Funotentext"/>
    <w:uiPriority w:val="99"/>
    <w:rsid w:val="009F1D09"/>
    <w:rPr>
      <w:sz w:val="20"/>
      <w:szCs w:val="20"/>
    </w:rPr>
  </w:style>
  <w:style w:type="character" w:styleId="Funotenzeichen">
    <w:name w:val="footnote reference"/>
    <w:aliases w:val="16 Point,BVI fnr,BVI fnr Car Car Char Char,BVI fnr Car Char Char,BVI fnr Char Char,FZ,Footnote,Footnote reference number,Footnote symbol,Fussnota,Odwołanie przypisu,Ref,Superscript 6 Point,de nota al pie,note TESI"/>
    <w:basedOn w:val="Absatz-Standardschriftart"/>
    <w:link w:val="BVIfnrChar"/>
    <w:uiPriority w:val="99"/>
    <w:unhideWhenUsed/>
    <w:qFormat/>
    <w:rsid w:val="009F1D09"/>
    <w:rPr>
      <w:vertAlign w:val="superscript"/>
    </w:rPr>
  </w:style>
  <w:style w:type="table" w:styleId="Tabellenraster">
    <w:name w:val="Table Grid"/>
    <w:basedOn w:val="NormaleTabelle"/>
    <w:uiPriority w:val="59"/>
    <w:rsid w:val="00C87832"/>
    <w:pPr>
      <w:spacing w:after="0" w:line="240" w:lineRule="auto"/>
    </w:pPr>
    <w:rPr>
      <w:rFonts w:eastAsia="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16 Point Char,BVI fnr Car Car Car Car Char,BVI fnr Car Car Char,BVI fnr Car Char,Superscript 6 Point Char Char"/>
    <w:basedOn w:val="Standard"/>
    <w:link w:val="Funotenzeichen"/>
    <w:uiPriority w:val="99"/>
    <w:rsid w:val="00C87832"/>
    <w:pPr>
      <w:spacing w:line="240" w:lineRule="exact"/>
    </w:pPr>
    <w:rPr>
      <w:vertAlign w:val="superscript"/>
    </w:rPr>
  </w:style>
  <w:style w:type="paragraph" w:styleId="StandardWeb">
    <w:name w:val="Normal (Web)"/>
    <w:basedOn w:val="Standard"/>
    <w:uiPriority w:val="99"/>
    <w:semiHidden/>
    <w:unhideWhenUsed/>
    <w:rsid w:val="005543C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2">
    <w:name w:val="Nicht aufgelöste Erwähnung2"/>
    <w:basedOn w:val="Absatz-Standardschriftart"/>
    <w:uiPriority w:val="99"/>
    <w:semiHidden/>
    <w:unhideWhenUsed/>
    <w:rsid w:val="009D723B"/>
    <w:rPr>
      <w:color w:val="605E5C"/>
      <w:shd w:val="clear" w:color="auto" w:fill="E1DFDD"/>
    </w:rPr>
  </w:style>
  <w:style w:type="paragraph" w:styleId="Kopfzeile">
    <w:name w:val="header"/>
    <w:basedOn w:val="Standard"/>
    <w:link w:val="KopfzeileZchn"/>
    <w:uiPriority w:val="99"/>
    <w:unhideWhenUsed/>
    <w:rsid w:val="00050F7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50F74"/>
    <w:rPr>
      <w:lang w:val="en-US"/>
    </w:rPr>
  </w:style>
  <w:style w:type="paragraph" w:styleId="Fuzeile">
    <w:name w:val="footer"/>
    <w:basedOn w:val="Standard"/>
    <w:link w:val="FuzeileZchn"/>
    <w:uiPriority w:val="99"/>
    <w:unhideWhenUsed/>
    <w:rsid w:val="00050F7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50F74"/>
    <w:rPr>
      <w:lang w:val="en-US"/>
    </w:rPr>
  </w:style>
  <w:style w:type="character" w:customStyle="1" w:styleId="markedcontent">
    <w:name w:val="markedcontent"/>
    <w:basedOn w:val="Absatz-Standardschriftart"/>
    <w:rsid w:val="003D4E57"/>
  </w:style>
  <w:style w:type="paragraph" w:styleId="Endnotentext">
    <w:name w:val="endnote text"/>
    <w:basedOn w:val="Standard"/>
    <w:link w:val="EndnotentextZchn"/>
    <w:uiPriority w:val="99"/>
    <w:semiHidden/>
    <w:unhideWhenUsed/>
    <w:rsid w:val="0080387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03872"/>
    <w:rPr>
      <w:sz w:val="20"/>
      <w:szCs w:val="20"/>
      <w:lang w:val="en-US"/>
    </w:rPr>
  </w:style>
  <w:style w:type="character" w:styleId="Endnotenzeichen">
    <w:name w:val="endnote reference"/>
    <w:basedOn w:val="Absatz-Standardschriftart"/>
    <w:uiPriority w:val="99"/>
    <w:semiHidden/>
    <w:unhideWhenUsed/>
    <w:rsid w:val="00803872"/>
    <w:rPr>
      <w:vertAlign w:val="superscript"/>
    </w:rPr>
  </w:style>
  <w:style w:type="paragraph" w:customStyle="1" w:styleId="EndNoteBibliography">
    <w:name w:val="EndNote Bibliography"/>
    <w:basedOn w:val="Standard"/>
    <w:link w:val="EndNoteBibliographyZchn"/>
    <w:rsid w:val="008B464F"/>
    <w:pPr>
      <w:spacing w:after="200" w:line="240" w:lineRule="auto"/>
    </w:pPr>
    <w:rPr>
      <w:rFonts w:ascii="Times New Roman" w:hAnsi="Times New Roman" w:cs="Times New Roman"/>
      <w:noProof/>
    </w:rPr>
  </w:style>
  <w:style w:type="character" w:customStyle="1" w:styleId="EndNoteBibliographyZchn">
    <w:name w:val="EndNote Bibliography Zchn"/>
    <w:basedOn w:val="Absatz-Standardschriftart"/>
    <w:link w:val="EndNoteBibliography"/>
    <w:rsid w:val="008B464F"/>
    <w:rPr>
      <w:rFonts w:ascii="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C2BD-9E6F-4AB7-BE51-919AD3D2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8693</Words>
  <Characters>54771</Characters>
  <Application>Microsoft Office Word</Application>
  <DocSecurity>0</DocSecurity>
  <Lines>456</Lines>
  <Paragraphs>126</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63338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 Bernhard</dc:creator>
  <cp:lastModifiedBy>Hirsch, Bernhard</cp:lastModifiedBy>
  <cp:revision>3</cp:revision>
  <cp:lastPrinted>2021-02-02T12:57:00Z</cp:lastPrinted>
  <dcterms:created xsi:type="dcterms:W3CDTF">2022-03-18T07:51:00Z</dcterms:created>
  <dcterms:modified xsi:type="dcterms:W3CDTF">2022-03-18T07:54:00Z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2022-03-12T16:38:19Z</vt:filetime>
  </property>
  <property fmtid="{D5CDD505-2E9C-101B-9397-08002B2CF9AE}" pid="3" name="ReminderText">
    <vt:lpwstr>_6CHF3FDV</vt:lpwstr>
  </property>
</Properties>
</file>